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t xml:space="preserve">Modello: direttiva sull'IA per PMI svizzere</w:t>
      </w:r>
    </w:p>
    <w:p>
      <w:pPr>
        <w:pBdr>
          <w:left w:val="single" w:color="94A3B8" w:sz="18" w:space="8"/>
        </w:pBdr>
        <w:shd w:fill="EEF2F7" w:color="auto" w:val="clear"/>
        <w:ind w:left="240" w:right="240"/>
      </w:pPr>
      <w:r>
        <w:rPr>
          <w:b/>
          <w:bCs/>
        </w:rPr>
        <w:t xml:space="preserve">Indicazioni per l'uso (da eliminare prima dell'entrata in vigore)</w:t>
      </w:r>
    </w:p>
    <w:p>
      <w:pPr>
        <w:pStyle w:val="ListParagraph"/>
        <w:numPr>
          <w:ilvl w:val="0"/>
          <w:numId w:val="2"/>
        </w:numPr>
        <w:pBdr>
          <w:left w:val="single" w:color="94A3B8" w:sz="18" w:space="8"/>
        </w:pBdr>
        <w:shd w:fill="EEF2F7" w:color="auto" w:val="clear"/>
        <w:spacing w:after="60"/>
        <w:ind w:left="600" w:right="240" w:hanging="360"/>
      </w:pPr>
      <w:r>
        <w:t xml:space="preserve">Questo modello è un punto di partenza, non una consulenza legale. Adattatelo alla vostra azienda e fatelo verificare da una persona esperta, se necessario.</w:t>
      </w:r>
    </w:p>
    <w:p>
      <w:pPr>
        <w:pStyle w:val="ListParagraph"/>
        <w:numPr>
          <w:ilvl w:val="0"/>
          <w:numId w:val="2"/>
        </w:numPr>
        <w:pBdr>
          <w:left w:val="single" w:color="94A3B8" w:sz="18" w:space="8"/>
        </w:pBdr>
        <w:shd w:fill="EEF2F7" w:color="auto" w:val="clear"/>
        <w:spacing w:after="60"/>
        <w:ind w:left="600" w:right="240" w:hanging="360"/>
      </w:pPr>
      <w:r>
        <w:t xml:space="preserve">Sostituite tutte le indicazioni tra </w:t>
      </w:r>
      <w:r>
        <w:rPr>
          <w:b/>
          <w:bCs/>
          <w:highlight w:val="yellow"/>
        </w:rPr>
        <w:t xml:space="preserve">[parentesi quadre]</w:t>
      </w:r>
      <w:r>
        <w:t xml:space="preserve">. Eliminate ciò che non vi riguarda.</w:t>
      </w:r>
    </w:p>
    <w:p>
      <w:pPr>
        <w:pStyle w:val="ListParagraph"/>
        <w:numPr>
          <w:ilvl w:val="0"/>
          <w:numId w:val="2"/>
        </w:numPr>
        <w:pBdr>
          <w:left w:val="single" w:color="94A3B8" w:sz="18" w:space="8"/>
        </w:pBdr>
        <w:shd w:fill="EEF2F7" w:color="auto" w:val="clear"/>
        <w:spacing w:after="60"/>
        <w:ind w:left="600" w:right="240" w:hanging="360"/>
      </w:pPr>
      <w:r>
        <w:rPr>
          <w:b/>
          <w:bCs/>
        </w:rPr>
        <w:t xml:space="preserve">Piccole imprese (1–9 collaboratori):</w:t>
      </w:r>
      <w:r>
        <w:t xml:space="preserve"> le sezioni 8 e 9 possono essere ridotte a una sola frase ciascuna. La persona responsabile dell'IA è di norma la titolare o il titolare dell'azienda.</w:t>
      </w:r>
    </w:p>
    <w:p>
      <w:pPr>
        <w:pStyle w:val="ListParagraph"/>
        <w:numPr>
          <w:ilvl w:val="0"/>
          <w:numId w:val="2"/>
        </w:numPr>
        <w:pBdr>
          <w:left w:val="single" w:color="94A3B8" w:sz="18" w:space="8"/>
        </w:pBdr>
        <w:shd w:fill="EEF2F7" w:color="auto" w:val="clear"/>
        <w:spacing w:after="60"/>
        <w:ind w:left="600" w:right="240" w:hanging="360"/>
      </w:pPr>
      <w:r>
        <w:rPr>
          <w:b/>
          <w:bCs/>
        </w:rPr>
        <w:t xml:space="preserve">Settori soggetti a segreto professionale</w:t>
      </w:r>
      <w:r>
        <w:t xml:space="preserve"> (ad es. fiduciari, avvocatura, sanità) o </w:t>
      </w:r>
      <w:r>
        <w:rPr>
          <w:b/>
          <w:bCs/>
        </w:rPr>
        <w:t xml:space="preserve">sottoposti alla vigilanza FINMA:</w:t>
      </w:r>
      <w:r>
        <w:t xml:space="preserve"> verificate se sono necessarie regole più severe di quelle previste da questo modello.</w:t>
      </w:r>
    </w:p>
    <w:p>
      <w:pPr>
        <w:pStyle w:val="ListParagraph"/>
        <w:numPr>
          <w:ilvl w:val="0"/>
          <w:numId w:val="2"/>
        </w:numPr>
        <w:pBdr>
          <w:left w:val="single" w:color="94A3B8" w:sz="18" w:space="8"/>
        </w:pBdr>
        <w:shd w:fill="EEF2F7" w:color="auto" w:val="clear"/>
        <w:spacing w:after="60"/>
        <w:ind w:left="600" w:right="240" w:hanging="360"/>
      </w:pPr>
      <w:r>
        <w:t xml:space="preserve">Il modello è coerente con il controllo IA su aicompliant.ch: copre i punti relativi all'approvazione degli strumenti, ai dati, alla formazione, alla trasparenza, alle decisioni riguardanti persone, alla responsabilità e agli incidenti.</w:t>
      </w:r>
    </w:p>
    <w:p>
      <w:pPr>
        <w:pBdr>
          <w:bottom w:val="single" w:color="94A3B8" w:sz="6" w:space="1"/>
        </w:pBdr>
      </w:pPr>
    </w:p>
    <w:p>
      <w:r>
        <w:rPr>
          <w:b/>
          <w:bCs/>
          <w:highlight w:val="yellow"/>
        </w:rPr>
        <w:t xml:space="preserve">[Nome dell'azienda]</w:t>
      </w:r>
      <w:r>
        <w:br/>
      </w:r>
      <w:r>
        <w:rPr>
          <w:b/>
          <w:bCs/>
        </w:rPr>
        <w:t xml:space="preserve">Direttiva sull'IA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7"/>
        <w:gridCol w:w="4319"/>
      </w:tblGrid>
      <w:tr>
        <w:tc>
          <w:tcPr>
            <w:tcW w:type="pct" w:w="2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Versione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[1.0]</w:t>
            </w:r>
          </w:p>
        </w:tc>
      </w:tr>
      <w:tr>
        <w:tc>
          <w:tcPr>
            <w:tcW w:type="pct" w:w="2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Valida dal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[GG.MM.AAAA]</w:t>
            </w:r>
          </w:p>
        </w:tc>
      </w:tr>
      <w:tr>
        <w:tc>
          <w:tcPr>
            <w:tcW w:type="pct" w:w="2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Responsabile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[Nome, funzione]</w:t>
            </w:r>
            <w:r>
              <w:t xml:space="preserve"> (di seguito «persona responsabile dell'IA»)</w:t>
            </w:r>
          </w:p>
        </w:tc>
      </w:tr>
      <w:tr>
        <w:tc>
          <w:tcPr>
            <w:tcW w:type="pct" w:w="2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Approvata da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[Direzione / Nome]</w:t>
            </w:r>
          </w:p>
        </w:tc>
      </w:tr>
      <w:tr>
        <w:tc>
          <w:tcPr>
            <w:tcW w:type="pct" w:w="2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Prossima verifica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[GG.MM.AAAA, al più tardi 12 mesi dopo l'entrata in vigore]</w:t>
            </w:r>
          </w:p>
        </w:tc>
      </w:tr>
    </w:tbl>
    <w:p/>
    <w:p>
      <w:pPr>
        <w:pStyle w:val="Heading1"/>
        <w:keepNext/>
      </w:pPr>
      <w:r>
        <w:t xml:space="preserve">1. Scopo e campo di applicazione</w:t>
      </w:r>
    </w:p>
    <w:p>
      <w:r>
        <w:t xml:space="preserve">Questa direttiva disciplina l'utilizzo degli strumenti di intelligenza artificiale (IA) presso </w:t>
      </w:r>
      <w:r>
        <w:rPr>
          <w:highlight w:val="yellow"/>
        </w:rPr>
        <w:t xml:space="preserve">[Nome dell'azienda]</w:t>
      </w:r>
      <w:r>
        <w:t xml:space="preserve">. Essa intende consentire di sfruttare i vantaggi dell'IA, proteggendo al contempo i dati personali, i segreti aziendali e la nostra reputazione.</w:t>
      </w:r>
    </w:p>
    <w:p>
      <w:r>
        <w:t xml:space="preserve">Si applica a:</w:t>
      </w:r>
    </w:p>
    <w:p>
      <w:pPr>
        <w:pStyle w:val="ListParagraph"/>
        <w:numPr>
          <w:ilvl w:val="0"/>
          <w:numId w:val="3"/>
        </w:numPr>
        <w:spacing w:after="60"/>
        <w:ind w:left="360" w:hanging="360"/>
      </w:pPr>
      <w:r>
        <w:t xml:space="preserve">tutti i collaboratori, le persone in formazione, le stagiste e gli stagisti nonché i/le </w:t>
      </w:r>
      <w:r>
        <w:rPr>
          <w:highlight w:val="yellow"/>
        </w:rPr>
        <w:t xml:space="preserve">[collaboratori/collaboratrici esterni / mandatari]</w:t>
      </w:r>
      <w:r>
        <w:t xml:space="preserve">, nella misura in cui lavorano per noi;</w:t>
      </w:r>
    </w:p>
    <w:p>
      <w:pPr>
        <w:pStyle w:val="ListParagraph"/>
        <w:numPr>
          <w:ilvl w:val="0"/>
          <w:numId w:val="3"/>
        </w:numPr>
        <w:spacing w:after="60"/>
        <w:ind w:left="360" w:hanging="360"/>
      </w:pPr>
      <w:r>
        <w:t xml:space="preserve">tutti gli strumenti di IA che generano testi, immagini, audio, codice o analisi, incluse le funzioni di IA integrate in software esistenti (ad es. in programmi Office, nel CRM o nel software di contabilità);</w:t>
      </w:r>
    </w:p>
    <w:p>
      <w:pPr>
        <w:pStyle w:val="ListParagraph"/>
        <w:numPr>
          <w:ilvl w:val="0"/>
          <w:numId w:val="3"/>
        </w:numPr>
        <w:spacing w:after="60"/>
        <w:ind w:left="360" w:hanging="360"/>
      </w:pPr>
      <w:r>
        <w:t xml:space="preserve">l'utilizzo su dispositivi aziendali e su dispositivi privati, nella misura in cui si tratta di lavoro svolto per </w:t>
      </w:r>
      <w:r>
        <w:rPr>
          <w:highlight w:val="yellow"/>
        </w:rPr>
        <w:t xml:space="preserve">[Nome dell'azienda]</w:t>
      </w:r>
      <w:r>
        <w:t xml:space="preserve">.</w:t>
      </w:r>
    </w:p>
    <w:p>
      <w:pPr>
        <w:pStyle w:val="Heading1"/>
        <w:keepNext/>
      </w:pPr>
      <w:r>
        <w:t xml:space="preserve">2. Principi</w:t>
      </w:r>
    </w:p>
    <w:p>
      <w:pPr>
        <w:pStyle w:val="ListParagraph"/>
        <w:numPr>
          <w:ilvl w:val="0"/>
          <w:numId w:val="4"/>
        </w:numPr>
        <w:spacing w:after="60"/>
        <w:ind w:left="360" w:hanging="360"/>
      </w:pPr>
      <w:r>
        <w:rPr>
          <w:b/>
          <w:bCs/>
        </w:rPr>
        <w:t xml:space="preserve">La responsabilità resta umana.</w:t>
      </w:r>
      <w:r>
        <w:t xml:space="preserve"> L'IA è uno strumento ausiliario. Per ogni risultato utilizzato, è responsabile la persona che lo impiega.</w:t>
      </w:r>
    </w:p>
    <w:p>
      <w:pPr>
        <w:pStyle w:val="ListParagraph"/>
        <w:numPr>
          <w:ilvl w:val="0"/>
          <w:numId w:val="4"/>
        </w:numPr>
        <w:spacing w:after="60"/>
        <w:ind w:left="360" w:hanging="360"/>
      </w:pPr>
      <w:r>
        <w:rPr>
          <w:b/>
          <w:bCs/>
        </w:rPr>
        <w:t xml:space="preserve">Solo strumenti approvati.</w:t>
      </w:r>
      <w:r>
        <w:t xml:space="preserve"> Per il lavoro utilizziamo esclusivamente gli strumenti di IA approvati nella sezione 3.</w:t>
      </w:r>
    </w:p>
    <w:p>
      <w:pPr>
        <w:pStyle w:val="ListParagraph"/>
        <w:numPr>
          <w:ilvl w:val="0"/>
          <w:numId w:val="4"/>
        </w:numPr>
        <w:spacing w:after="60"/>
        <w:ind w:left="360" w:hanging="360"/>
      </w:pPr>
      <w:r>
        <w:rPr>
          <w:b/>
          <w:bCs/>
        </w:rPr>
        <w:t xml:space="preserve">Proteggere i dati.</w:t>
      </w:r>
      <w:r>
        <w:t xml:space="preserve"> Ciò che viene inserito in uno strumento di IA può uscire dall'azienda. Le regole della sezione 4 si applicano sempre.</w:t>
      </w:r>
    </w:p>
    <w:p>
      <w:pPr>
        <w:pStyle w:val="ListParagraph"/>
        <w:numPr>
          <w:ilvl w:val="0"/>
          <w:numId w:val="4"/>
        </w:numPr>
        <w:spacing w:after="60"/>
        <w:ind w:left="360" w:hanging="360"/>
      </w:pPr>
      <w:r>
        <w:rPr>
          <w:b/>
          <w:bCs/>
        </w:rPr>
        <w:t xml:space="preserve">Verificare i risultati.</w:t>
      </w:r>
      <w:r>
        <w:t xml:space="preserve"> L'IA può commettere errori dall'apparenza convincente. I risultati vengono verificati prima dell'utilizzo (sezione 5).</w:t>
      </w:r>
    </w:p>
    <w:p>
      <w:pPr>
        <w:pStyle w:val="ListParagraph"/>
        <w:numPr>
          <w:ilvl w:val="0"/>
          <w:numId w:val="4"/>
        </w:numPr>
        <w:spacing w:after="60"/>
        <w:ind w:left="360" w:hanging="360"/>
      </w:pPr>
      <w:r>
        <w:rPr>
          <w:b/>
          <w:bCs/>
        </w:rPr>
        <w:t xml:space="preserve">In caso di dubbio, chiedere.</w:t>
      </w:r>
      <w:r>
        <w:t xml:space="preserve"> In caso di incertezza, rivolgetevi alla persona responsabile dell'IA prima di agire.</w:t>
      </w:r>
    </w:p>
    <w:p>
      <w:pPr>
        <w:pStyle w:val="Heading1"/>
        <w:keepNext/>
      </w:pPr>
      <w:r>
        <w:t xml:space="preserve">3. Strumenti di IA approvati</w:t>
      </w:r>
    </w:p>
    <w:p>
      <w:r>
        <w:t xml:space="preserve">I seguenti strumenti sono approvati per il lavoro: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77"/>
        <w:gridCol w:w="2160"/>
        <w:gridCol w:w="2077"/>
        <w:gridCol w:w="1993"/>
      </w:tblGrid>
      <w:tr>
        <w:trPr>
          <w:tblHeader/>
        </w:trPr>
        <w:tc>
          <w:tcPr>
            <w:tcW w:type="pct" w:w="12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Strumento</w:t>
            </w:r>
          </w:p>
        </w:tc>
        <w:tc>
          <w:tcPr>
            <w:tcW w:type="pct" w:w="13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Account / Licenza</w:t>
            </w:r>
          </w:p>
        </w:tc>
        <w:tc>
          <w:tcPr>
            <w:tcW w:type="pct" w:w="12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Utilizzo consentito</w:t>
            </w:r>
          </w:p>
        </w:tc>
        <w:tc>
          <w:tcPr>
            <w:tcW w:type="pct" w:w="12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Livello massimo di dati consentito (vedi sezione 4)</w:t>
            </w:r>
          </w:p>
        </w:tc>
      </w:tr>
      <w:tr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[ad es. Microsoft 365 Copilot]</w:t>
            </w:r>
          </w:p>
        </w:tc>
        <w:tc>
          <w:tcPr>
            <w:tcW w:type="pct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[Licenza Business dell'azienda]</w:t>
            </w:r>
          </w:p>
        </w:tc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[Bozze di testi, riassunti, ricerche]</w:t>
            </w:r>
          </w:p>
        </w:tc>
        <w:tc>
          <w:tcPr>
            <w:tcW w:type="pct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[Giallo]</w:t>
            </w:r>
          </w:p>
        </w:tc>
      </w:tr>
      <w:tr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[ad es. DeepL Pro]</w:t>
            </w:r>
          </w:p>
        </w:tc>
        <w:tc>
          <w:tcPr>
            <w:tcW w:type="pct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[Account aziendale]</w:t>
            </w:r>
          </w:p>
        </w:tc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[Traduzioni]</w:t>
            </w:r>
          </w:p>
        </w:tc>
        <w:tc>
          <w:tcPr>
            <w:tcW w:type="pct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[Giallo]</w:t>
            </w:r>
          </w:p>
        </w:tc>
      </w:tr>
      <w:tr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[Strumento]</w:t>
            </w:r>
          </w:p>
        </w:tc>
        <w:tc>
          <w:tcPr>
            <w:tcW w:type="pct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[Account]</w:t>
            </w:r>
          </w:p>
        </w:tc>
        <w:tc>
          <w:tcPr>
            <w:tcW w:type="pct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[Utilizzo]</w:t>
            </w:r>
          </w:p>
        </w:tc>
        <w:tc>
          <w:tcPr>
            <w:tcW w:type="pct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highlight w:val="yellow"/>
              </w:rPr>
              <w:t xml:space="preserve">[Verde / Giallo]</w:t>
            </w:r>
          </w:p>
        </w:tc>
      </w:tr>
    </w:tbl>
    <w:p/>
    <w:p>
      <w:r>
        <w:rPr>
          <w:b/>
          <w:bCs/>
        </w:rPr>
        <w:t xml:space="preserve">Nuovi strumenti:</w:t>
      </w:r>
      <w:r>
        <w:t xml:space="preserve"> chi desidera utilizzare un ulteriore strumento di IA ne fa richiesta alla persona responsabile dell'IA. Prima di approvare uno strumento, la persona responsabile dell'IA verifica almeno:</w:t>
      </w:r>
    </w:p>
    <w:p>
      <w:pPr>
        <w:pStyle w:val="ListParagraph"/>
        <w:numPr>
          <w:ilvl w:val="0"/>
          <w:numId w:val="5"/>
        </w:numPr>
        <w:spacing w:after="60"/>
        <w:ind w:left="360" w:hanging="360"/>
      </w:pPr>
      <w:r>
        <w:t xml:space="preserve">se è disponibile un account Business con un contratto di trattamento dei dati (Data Processing Agreement);</w:t>
      </w:r>
    </w:p>
    <w:p>
      <w:pPr>
        <w:pStyle w:val="ListParagraph"/>
        <w:numPr>
          <w:ilvl w:val="0"/>
          <w:numId w:val="5"/>
        </w:numPr>
        <w:spacing w:after="60"/>
        <w:ind w:left="360" w:hanging="360"/>
      </w:pPr>
      <w:r>
        <w:t xml:space="preserve">se è escluso che i nostri dati vengano utilizzati per addestrare i modelli del fornitore;</w:t>
      </w:r>
    </w:p>
    <w:p>
      <w:pPr>
        <w:pStyle w:val="ListParagraph"/>
        <w:numPr>
          <w:ilvl w:val="0"/>
          <w:numId w:val="5"/>
        </w:numPr>
        <w:spacing w:after="60"/>
        <w:ind w:left="360" w:hanging="360"/>
      </w:pPr>
      <w:r>
        <w:t xml:space="preserve">dove i dati vengono trattati e conservati e se la comunicazione all'estero è ammissibile (art. 16–17 LPD);</w:t>
      </w:r>
    </w:p>
    <w:p>
      <w:pPr>
        <w:pStyle w:val="ListParagraph"/>
        <w:numPr>
          <w:ilvl w:val="0"/>
          <w:numId w:val="5"/>
        </w:numPr>
        <w:spacing w:after="60"/>
        <w:ind w:left="360" w:hanging="360"/>
      </w:pPr>
      <w:r>
        <w:t xml:space="preserve">quale livello di dati debba essere consentito nello strumento.</w:t>
      </w:r>
    </w:p>
    <w:p>
      <w:r>
        <w:rPr>
          <w:b/>
          <w:bCs/>
        </w:rPr>
        <w:t xml:space="preserve">Non è consentito</w:t>
      </w:r>
      <w:r>
        <w:t xml:space="preserve"> l'utilizzo di account privati o gratuiti per dati di lavoro, anche se lo strumento stesso è approvato.</w:t>
      </w:r>
    </w:p>
    <w:p>
      <w:r>
        <w:rPr>
          <w:b/>
          <w:bCs/>
        </w:rPr>
        <w:t xml:space="preserve">Estensioni e connettori:</w:t>
      </w:r>
      <w:r>
        <w:t xml:space="preserve"> le estensioni del browser basate su IA, i plug-in e i collegamenti che conferiscono a uno strumento di IA l'accesso a e-mail, file o altri sistemi sono considerati strumenti a sé stanti e necessitano anch'essi di un'approvazione.</w:t>
      </w:r>
    </w:p>
    <w:p>
      <w:pPr>
        <w:pStyle w:val="Heading1"/>
        <w:keepNext/>
      </w:pPr>
      <w:r>
        <w:t xml:space="preserve">4. Quali dati possono essere inseriti negli strumenti di IA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61"/>
        <w:gridCol w:w="4319"/>
        <w:gridCol w:w="2326"/>
      </w:tblGrid>
      <w:tr>
        <w:trPr>
          <w:tblHeader/>
        </w:trPr>
        <w:tc>
          <w:tcPr>
            <w:tcW w:type="pct" w:w="10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Livello</w:t>
            </w:r>
          </w:p>
        </w:tc>
        <w:tc>
          <w:tcPr>
            <w:tcW w:type="pct" w:w="26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Esempi</w:t>
            </w:r>
          </w:p>
        </w:tc>
        <w:tc>
          <w:tcPr>
            <w:tcW w:type="pct" w:w="14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Regola</w:t>
            </w:r>
          </w:p>
        </w:tc>
      </w:tr>
      <w:tr>
        <w:tc>
          <w:tcPr>
            <w:tcW w:type="pct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🟢 </w:t>
            </w:r>
            <w:r>
              <w:rPr>
                <w:b/>
                <w:bCs/>
              </w:rPr>
              <w:t xml:space="preserve">Verde</w:t>
            </w:r>
            <w:r>
              <w:t xml:space="preserve"> (pubblico)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Informazioni pubblicamente disponibili, domande generali, testi propri senza contenuti confidenziali</w:t>
            </w:r>
          </w:p>
        </w:tc>
        <w:tc>
          <w:tcPr>
            <w:tcW w:type="pct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Consentito in tutti gli strumenti approvati.</w:t>
            </w:r>
          </w:p>
        </w:tc>
      </w:tr>
      <w:tr>
        <w:tc>
          <w:tcPr>
            <w:tcW w:type="pct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🟡 </w:t>
            </w:r>
            <w:r>
              <w:rPr>
                <w:b/>
                <w:bCs/>
              </w:rPr>
              <w:t xml:space="preserve">Giallo</w:t>
            </w:r>
            <w:r>
              <w:t xml:space="preserve"> (interno / dati personali)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Documenti interni, offerte, nomi e dati di contatto di clientela o collaboratori, corrispondenza con la clientela</w:t>
            </w:r>
          </w:p>
        </w:tc>
        <w:tc>
          <w:tcPr>
            <w:tcW w:type="pct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Solo negli strumenti approvati per il livello «Giallo» nella sezione 3. Solo la quantità di dati necessaria; ove possibile, anonimizzare o omettere i nomi.</w:t>
            </w:r>
          </w:p>
        </w:tc>
      </w:tr>
      <w:tr>
        <w:tc>
          <w:tcPr>
            <w:tcW w:type="pct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🔴 </w:t>
            </w:r>
            <w:r>
              <w:rPr>
                <w:b/>
                <w:bCs/>
              </w:rPr>
              <w:t xml:space="preserve">Rosso</w:t>
            </w:r>
            <w:r>
              <w:t xml:space="preserve"> (strettamente confidenziale / particolarmente degno di protezione)</w:t>
            </w:r>
          </w:p>
        </w:tc>
        <w:tc>
          <w:tcPr>
            <w:tcW w:type="pct" w:w="2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t xml:space="preserve">Dati personali particolarmente degni di protezione (art. 5 lett. c LPD), ad es. relativi a salute, religione, opinioni politiche, appartenenza sindacale o etnia, dati genetici e biometrici, informazioni su procedimenti penali o aiuti sociali; dati soggetti a segreto professionale; segreti aziendali della clientela; password, dati di accesso, dati bancari e di carte</w:t>
            </w:r>
          </w:p>
        </w:tc>
        <w:tc>
          <w:tcPr>
            <w:tcW w:type="pct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Mai</w:t>
            </w:r>
            <w:r>
              <w:t xml:space="preserve"> inserire negli strumenti di IA, a meno che la persona responsabile dell'IA non abbia approvato per iscritto uno specifico strumento per uno scopo specifico.</w:t>
            </w:r>
          </w:p>
        </w:tc>
      </w:tr>
    </w:tbl>
    <w:p/>
    <w:p>
      <w:r>
        <w:t xml:space="preserve">Se non siete sicuri di quale livello si applichi, trattate i dati come appartenenti al livello immediatamente superiore.</w:t>
      </w:r>
    </w:p>
    <w:p>
      <w:pPr>
        <w:pStyle w:val="Heading1"/>
        <w:keepNext/>
      </w:pPr>
      <w:r>
        <w:t xml:space="preserve">5. Gestione dei risultati dell'IA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Verificare il contenuto.</w:t>
      </w:r>
      <w:r>
        <w:t xml:space="preserve"> Fatti, cifre, citazioni, fonti e calcoli vengono verificati prima dell'utilizzo. I risultati dell'IA non costituiscono mai l'unica fonte per affermazioni giuridiche, fiscali, mediche o finanziarie.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Rispettare i diritti di terzi.</w:t>
      </w:r>
      <w:r>
        <w:t xml:space="preserve"> Testi, immagini e codice generati dall'IA possono violare i diritti di terzi. Prima di una pubblicazione o di una trasmissione alla clientela, ciò viene verificato con buon senso; in caso di dubbio, viene consultata la persona responsabile dell'IA.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Nessuna decisione su persone senza intervento umano.</w:t>
      </w:r>
      <w:r>
        <w:t xml:space="preserve"> L'IA può preparare decisioni riguardanti persone (ad es. candidature, solvibilità, prezzi, disdette), ma non può adottarle da sola. Una persona verifica il contenuto di ogni decisione di questo tipo e documenta come ha deciso. In questo modo non si creano decisioni individuali esclusivamente automatizzate, per le quali valgono particolari obblighi di informazione e di verifica (art. 21 LPD).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Contrassegnare quando necessario.</w:t>
      </w:r>
      <w:r>
        <w:t xml:space="preserve"> I contenuti creati in misura prevalente dall'IA e destinati al pubblico vengono </w:t>
      </w:r>
      <w:r>
        <w:rPr>
          <w:highlight w:val="yellow"/>
        </w:rPr>
        <w:t xml:space="preserve">[contrassegnati come generati dall'IA / contrassegnati previo accordo con la persona responsabile dell'IA]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IA che agisce autonomamente.</w:t>
      </w:r>
      <w:r>
        <w:t xml:space="preserve"> Gli strumenti di IA in grado di eseguire autonomamente azioni (ad es. inviare e-mail, prenotare, pagare, cancellare) ricevono solo gli accessi necessari per il loro compito. Le azioni non reversibili vengono confermate preventivamente da una persona. I contenuti provenienti dall'esterno (e-mail in arrivo, siti web, documenti) possono contenere istruzioni nascoste rivolte all'IA e sono considerati non affidabili.</w:t>
      </w:r>
    </w:p>
    <w:p>
      <w:pPr>
        <w:pStyle w:val="ListParagraph"/>
        <w:numPr>
          <w:ilvl w:val="0"/>
          <w:numId w:val="6"/>
        </w:numPr>
        <w:spacing w:after="60"/>
        <w:ind w:left="360" w:hanging="360"/>
      </w:pPr>
      <w:r>
        <w:rPr>
          <w:b/>
          <w:bCs/>
        </w:rPr>
        <w:t xml:space="preserve">Verificare le richieste insolite.</w:t>
      </w:r>
      <w:r>
        <w:t xml:space="preserve"> Le richieste di pagamento e di dati vengono confermate tramite un secondo canale (ad es. richiamando un numero noto), indipendentemente da quanto convincenti appaiano e-mail, voce o video. Voci e volti possono essere falsificati con l'IA in modo ingannevolmente realistico.</w:t>
      </w:r>
    </w:p>
    <w:p>
      <w:pPr>
        <w:pStyle w:val="Heading1"/>
        <w:keepNext/>
      </w:pPr>
      <w:r>
        <w:t xml:space="preserve">6. Trasparenza nei confronti di terzi</w:t>
      </w:r>
    </w:p>
    <w:p>
      <w:pPr>
        <w:pStyle w:val="ListParagraph"/>
        <w:numPr>
          <w:ilvl w:val="0"/>
          <w:numId w:val="7"/>
        </w:numPr>
        <w:spacing w:after="60"/>
        <w:ind w:left="360" w:hanging="360"/>
      </w:pPr>
      <w:r>
        <w:t xml:space="preserve">I chatbot e gli altri sistemi di IA con cui la clientela o i candidati interagiscono direttamente sono chiaramente riconoscibili come IA.</w:t>
      </w:r>
    </w:p>
    <w:p>
      <w:pPr>
        <w:pStyle w:val="ListParagraph"/>
        <w:numPr>
          <w:ilvl w:val="0"/>
          <w:numId w:val="7"/>
        </w:numPr>
        <w:spacing w:after="60"/>
        <w:ind w:left="360" w:hanging="360"/>
      </w:pPr>
      <w:r>
        <w:t xml:space="preserve">La persona responsabile dell'IA si assicura che la dichiarazione sulla protezione dei dati informi in merito al trattamento dei dati personali con strumenti di IA: scopo, destinatari o categorie di destinatari (ad es. i fornitori) e, se del caso, gli Stati verso cui i dati vengono trasmessi (art. 19 LPD).</w:t>
      </w:r>
    </w:p>
    <w:p>
      <w:pPr>
        <w:pStyle w:val="Heading1"/>
        <w:keepNext/>
      </w:pPr>
      <w:r>
        <w:t xml:space="preserve">7. Utilizzi vietati</w:t>
      </w:r>
    </w:p>
    <w:p>
      <w:r>
        <w:t xml:space="preserve">Non è consentito:</w:t>
      </w:r>
    </w:p>
    <w:p>
      <w:pPr>
        <w:pStyle w:val="ListParagraph"/>
        <w:numPr>
          <w:ilvl w:val="0"/>
          <w:numId w:val="8"/>
        </w:numPr>
        <w:spacing w:after="60"/>
        <w:ind w:left="360" w:hanging="360"/>
      </w:pPr>
      <w:r>
        <w:t xml:space="preserve">utilizzare l'IA per ingannare persone, ad es. tramite recensioni false o immagini, voci o video ingannevolmente realistici di persone realmente esistenti;</w:t>
      </w:r>
    </w:p>
    <w:p>
      <w:pPr>
        <w:pStyle w:val="ListParagraph"/>
        <w:numPr>
          <w:ilvl w:val="0"/>
          <w:numId w:val="8"/>
        </w:numPr>
        <w:spacing w:after="60"/>
        <w:ind w:left="360" w:hanging="360"/>
      </w:pPr>
      <w:r>
        <w:t xml:space="preserve">impiegare l'IA per sorvegliare il comportamento dei collaboratori (art. 26 OLL 3) o per trattare dati sui collaboratori che non riguardano la loro idoneità al posto di lavoro o l'esecuzione del contratto di lavoro (art. 328b CO);</w:t>
      </w:r>
    </w:p>
    <w:p>
      <w:pPr>
        <w:pStyle w:val="ListParagraph"/>
        <w:numPr>
          <w:ilvl w:val="0"/>
          <w:numId w:val="8"/>
        </w:numPr>
        <w:spacing w:after="60"/>
        <w:ind w:left="360" w:hanging="360"/>
      </w:pPr>
      <w:r>
        <w:t xml:space="preserve">utilizzare i risultati dell'IA senza verifica come base per decisioni riguardanti persone (vedi sezione 5);</w:t>
      </w:r>
    </w:p>
    <w:p>
      <w:pPr>
        <w:pStyle w:val="ListParagraph"/>
        <w:numPr>
          <w:ilvl w:val="0"/>
          <w:numId w:val="8"/>
        </w:numPr>
        <w:spacing w:after="60"/>
        <w:ind w:left="360" w:hanging="360"/>
      </w:pPr>
      <w:r>
        <w:t xml:space="preserve">aggirare le misure di sicurezza degli strumenti di IA o della nostra infrastruttura informatica;</w:t>
      </w:r>
    </w:p>
    <w:p>
      <w:pPr>
        <w:pStyle w:val="ListParagraph"/>
        <w:numPr>
          <w:ilvl w:val="0"/>
          <w:numId w:val="8"/>
        </w:numPr>
        <w:spacing w:after="60"/>
        <w:ind w:left="360" w:hanging="360"/>
      </w:pPr>
      <w:r>
        <w:rPr>
          <w:highlight w:val="yellow"/>
        </w:rPr>
        <w:t xml:space="preserve">[ulteriori divieti specifici dell'azienda]</w:t>
      </w:r>
      <w:r>
        <w:t xml:space="preserve">.</w:t>
      </w:r>
    </w:p>
    <w:p>
      <w:pPr>
        <w:pStyle w:val="Heading1"/>
        <w:keepNext/>
      </w:pPr>
      <w:r>
        <w:t xml:space="preserve">8. Responsabilità</w:t>
      </w:r>
    </w:p>
    <w:p>
      <w:r>
        <w:rPr>
          <w:b/>
          <w:bCs/>
        </w:rPr>
        <w:t xml:space="preserve">La persona responsabile dell'IA</w:t>
      </w:r>
    </w:p>
    <w:p>
      <w:pPr>
        <w:pStyle w:val="ListParagraph"/>
        <w:numPr>
          <w:ilvl w:val="0"/>
          <w:numId w:val="9"/>
        </w:numPr>
        <w:spacing w:after="60"/>
        <w:ind w:left="360" w:hanging="360"/>
      </w:pPr>
      <w:r>
        <w:t xml:space="preserve">tiene aggiornato l'elenco degli strumenti approvati (allegato);</w:t>
      </w:r>
    </w:p>
    <w:p>
      <w:pPr>
        <w:pStyle w:val="ListParagraph"/>
        <w:numPr>
          <w:ilvl w:val="0"/>
          <w:numId w:val="9"/>
        </w:numPr>
        <w:spacing w:after="60"/>
        <w:ind w:left="360" w:hanging="360"/>
      </w:pPr>
      <w:r>
        <w:t xml:space="preserve">decide in merito alle richieste per nuovi strumenti;</w:t>
      </w:r>
    </w:p>
    <w:p>
      <w:pPr>
        <w:pStyle w:val="ListParagraph"/>
        <w:numPr>
          <w:ilvl w:val="0"/>
          <w:numId w:val="9"/>
        </w:numPr>
        <w:spacing w:after="60"/>
        <w:ind w:left="360" w:hanging="360"/>
      </w:pPr>
      <w:r>
        <w:t xml:space="preserve">risponde alle domande relative alla direttiva;</w:t>
      </w:r>
    </w:p>
    <w:p>
      <w:pPr>
        <w:pStyle w:val="ListParagraph"/>
        <w:numPr>
          <w:ilvl w:val="0"/>
          <w:numId w:val="9"/>
        </w:numPr>
        <w:spacing w:after="60"/>
        <w:ind w:left="360" w:hanging="360"/>
      </w:pPr>
      <w:r>
        <w:t xml:space="preserve">si occupa della formazione (sezione 9) e della gestione degli incidenti (sezione 10);</w:t>
      </w:r>
    </w:p>
    <w:p>
      <w:pPr>
        <w:pStyle w:val="ListParagraph"/>
        <w:numPr>
          <w:ilvl w:val="0"/>
          <w:numId w:val="9"/>
        </w:numPr>
        <w:spacing w:after="60"/>
        <w:ind w:left="360" w:hanging="360"/>
      </w:pPr>
      <w:r>
        <w:t xml:space="preserve">verifica la direttiva almeno una volta all'anno.</w:t>
      </w:r>
    </w:p>
    <w:p>
      <w:r>
        <w:rPr>
          <w:b/>
          <w:bCs/>
        </w:rPr>
        <w:t xml:space="preserve">I superiori gerarchici</w:t>
      </w:r>
      <w:r>
        <w:t xml:space="preserve"> si assicurano che il proprio team conosca e rispetti la direttiva.</w:t>
      </w:r>
    </w:p>
    <w:p>
      <w:r>
        <w:rPr>
          <w:b/>
          <w:bCs/>
        </w:rPr>
        <w:t xml:space="preserve">Tutti i collaboratori</w:t>
      </w:r>
      <w:r>
        <w:t xml:space="preserve"> rispettano questa direttiva e segnalano incertezze e incidenti.</w:t>
      </w:r>
    </w:p>
    <w:p>
      <w:pPr>
        <w:pStyle w:val="Heading1"/>
        <w:keepNext/>
      </w:pPr>
      <w:r>
        <w:t xml:space="preserve">9. Formazione</w:t>
      </w:r>
    </w:p>
    <w:p>
      <w:r>
        <w:t xml:space="preserve">Chi utilizza strumenti di IA viene formato prima del primo utilizzo e successivamente </w:t>
      </w:r>
      <w:r>
        <w:rPr>
          <w:highlight w:val="yellow"/>
        </w:rPr>
        <w:t xml:space="preserve">[annualmente]</w:t>
      </w:r>
      <w:r>
        <w:t xml:space="preserve">: su ciò che l'IA sa fare bene e male, quali dati non vi debbano essere inseriti e come verificare i risultati. La persona responsabile dell'IA documenta chi è stato formato e quando.</w:t>
      </w:r>
    </w:p>
    <w:p>
      <w:pPr>
        <w:pStyle w:val="Heading1"/>
        <w:keepNext/>
      </w:pPr>
      <w:r>
        <w:t xml:space="preserve">10. Incidenti</w:t>
      </w:r>
    </w:p>
    <w:p>
      <w:r>
        <w:t xml:space="preserve">Segnalate </w:t>
      </w:r>
      <w:r>
        <w:rPr>
          <w:b/>
          <w:bCs/>
        </w:rPr>
        <w:t xml:space="preserve">immediatamente</w:t>
      </w:r>
      <w:r>
        <w:t xml:space="preserve"> a </w:t>
      </w:r>
      <w:r>
        <w:rPr>
          <w:highlight w:val="yellow"/>
        </w:rPr>
        <w:t xml:space="preserve">[Nome / E-mail / Telefono]</w:t>
      </w:r>
      <w:r>
        <w:t xml:space="preserve"> se:</w:t>
      </w:r>
    </w:p>
    <w:p>
      <w:pPr>
        <w:pStyle w:val="ListParagraph"/>
        <w:numPr>
          <w:ilvl w:val="0"/>
          <w:numId w:val="10"/>
        </w:numPr>
        <w:spacing w:after="60"/>
        <w:ind w:left="360" w:hanging="360"/>
      </w:pPr>
      <w:r>
        <w:t xml:space="preserve">dati di livello Giallo o Rosso sono finiti in uno strumento non approvato a tale scopo;</w:t>
      </w:r>
    </w:p>
    <w:p>
      <w:pPr>
        <w:pStyle w:val="ListParagraph"/>
        <w:numPr>
          <w:ilvl w:val="0"/>
          <w:numId w:val="10"/>
        </w:numPr>
        <w:spacing w:after="60"/>
        <w:ind w:left="360" w:hanging="360"/>
      </w:pPr>
      <w:r>
        <w:t xml:space="preserve">un risultato erroneo dell'IA è giunto alla clientela o all'esterno;</w:t>
      </w:r>
    </w:p>
    <w:p>
      <w:pPr>
        <w:pStyle w:val="ListParagraph"/>
        <w:numPr>
          <w:ilvl w:val="0"/>
          <w:numId w:val="10"/>
        </w:numPr>
        <w:spacing w:after="60"/>
        <w:ind w:left="360" w:hanging="360"/>
      </w:pPr>
      <w:r>
        <w:t xml:space="preserve">sospettate che uno strumento o un account di IA venga utilizzato in modo abusivo o che uno strumento di IA abbia compiuto qualcosa che nessuno ha disposto;</w:t>
      </w:r>
    </w:p>
    <w:p>
      <w:pPr>
        <w:pStyle w:val="ListParagraph"/>
        <w:numPr>
          <w:ilvl w:val="0"/>
          <w:numId w:val="10"/>
        </w:numPr>
        <w:spacing w:after="60"/>
        <w:ind w:left="360" w:hanging="360"/>
      </w:pPr>
      <w:r>
        <w:t xml:space="preserve">avete ricevuto una richiesta sospetta che potrebbe essere falsificata (ad es. chiamata o video della direzione con un'istruzione di pagamento urgente).</w:t>
      </w:r>
    </w:p>
    <w:p>
      <w:r>
        <w:t xml:space="preserve">Le segnalazioni tempestive sono auspicate. Chi segnala un incidente non deve temere svantaggi a causa della segnalazione stessa. La persona responsabile dell'IA limita il danno, documenta l'incidente e verifica se sia necessaria una comunicazione all'Incaricato federale della protezione dei dati e della trasparenza (IFPDT) (art. 24 LPD) e se le persone interessate debbano essere informate.</w:t>
      </w:r>
    </w:p>
    <w:p>
      <w:pPr>
        <w:pStyle w:val="Heading1"/>
        <w:keepNext/>
      </w:pPr>
      <w:r>
        <w:t xml:space="preserve">11. Verifica e violazioni</w:t>
      </w:r>
    </w:p>
    <w:p>
      <w:r>
        <w:t xml:space="preserve">Questa direttiva viene verificata almeno una volta all'anno, nonché in caso di introduzione di nuovi strumenti o di modifiche delle prescrizioni legali.</w:t>
      </w:r>
    </w:p>
    <w:p>
      <w:r>
        <w:t xml:space="preserve">Le violazioni possono comportare provvedimenti di diritto del lavoro.</w:t>
      </w:r>
    </w:p>
    <w:p>
      <w:pPr>
        <w:pBdr>
          <w:bottom w:val="single" w:color="94A3B8" w:sz="6" w:space="1"/>
        </w:pBdr>
      </w:pPr>
    </w:p>
    <w:p>
      <w:pPr>
        <w:pStyle w:val="Heading1"/>
        <w:keepNext/>
      </w:pPr>
      <w:r>
        <w:t xml:space="preserve">Presa di conoscenza</w:t>
      </w:r>
    </w:p>
    <w:p>
      <w:r>
        <w:t xml:space="preserve">Ho letto e compreso la direttiva sull'IA di </w:t>
      </w:r>
      <w:r>
        <w:rPr>
          <w:highlight w:val="yellow"/>
        </w:rPr>
        <w:t xml:space="preserve">[Nome dell'azienda]</w:t>
      </w:r>
      <w:r>
        <w:t xml:space="preserve"> (versione </w:t>
      </w:r>
      <w:r>
        <w:rPr>
          <w:highlight w:val="yellow"/>
        </w:rPr>
        <w:t xml:space="preserve">[1.0]</w:t>
      </w:r>
      <w:r>
        <w:t xml:space="preserve">) e mi impegno a rispettarla.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24"/>
        <w:gridCol w:w="2658"/>
        <w:gridCol w:w="2824"/>
      </w:tblGrid>
      <w:tr>
        <w:trPr>
          <w:tblHeader/>
        </w:trPr>
        <w:tc>
          <w:tcPr>
            <w:tcW w:type="pct" w:w="17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Nome</w:t>
            </w:r>
          </w:p>
        </w:tc>
        <w:tc>
          <w:tcPr>
            <w:tcW w:type="pct" w:w="16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Data</w:t>
            </w:r>
          </w:p>
        </w:tc>
        <w:tc>
          <w:tcPr>
            <w:tcW w:type="pct" w:w="17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Firma</w:t>
            </w:r>
          </w:p>
        </w:tc>
      </w:tr>
      <w:tr>
        <w:tc>
          <w:tcPr>
            <w:tcW w:type="pct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1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1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</w:tbl>
    <w:p/>
    <w:p>
      <w:pPr>
        <w:pBdr>
          <w:bottom w:val="single" w:color="94A3B8" w:sz="6" w:space="1"/>
        </w:pBdr>
      </w:pPr>
    </w:p>
    <w:p>
      <w:pPr>
        <w:pStyle w:val="Heading1"/>
        <w:keepNext/>
      </w:pPr>
      <w:r>
        <w:t xml:space="preserve">Allegato: elenco degli strumenti di IA</w:t>
      </w:r>
    </w:p>
    <w:p>
      <w:r>
        <w:rPr>
          <w:i/>
          <w:iCs/>
        </w:rPr>
        <w:t xml:space="preserve">Da tenere aggiornato a cura della persona responsabile dell'IA. Contiene tutti gli strumenti di IA noti, anche quelli respinti o non ancora verificati.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14"/>
        <w:gridCol w:w="831"/>
        <w:gridCol w:w="498"/>
        <w:gridCol w:w="581"/>
        <w:gridCol w:w="664"/>
        <w:gridCol w:w="997"/>
        <w:gridCol w:w="581"/>
        <w:gridCol w:w="1246"/>
        <w:gridCol w:w="1163"/>
        <w:gridCol w:w="831"/>
      </w:tblGrid>
      <w:tr>
        <w:trPr>
          <w:tblHeader/>
        </w:trPr>
        <w:tc>
          <w:tcPr>
            <w:tcW w:type="pct" w:w="5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Strumento</w:t>
            </w:r>
          </w:p>
        </w:tc>
        <w:tc>
          <w:tcPr>
            <w:tcW w:type="pct" w:w="5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Fornitore</w:t>
            </w:r>
          </w:p>
        </w:tc>
        <w:tc>
          <w:tcPr>
            <w:tcW w:type="pct" w:w="3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Stato</w:t>
            </w:r>
          </w:p>
        </w:tc>
        <w:tc>
          <w:tcPr>
            <w:tcW w:type="pct" w:w="3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Scopo</w:t>
            </w:r>
          </w:p>
        </w:tc>
        <w:tc>
          <w:tcPr>
            <w:tcW w:type="pct" w:w="4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Livello di dati</w:t>
            </w:r>
          </w:p>
        </w:tc>
        <w:tc>
          <w:tcPr>
            <w:tcW w:type="pct" w:w="6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Ubicazione</w:t>
            </w:r>
          </w:p>
        </w:tc>
        <w:tc>
          <w:tcPr>
            <w:tcW w:type="pct" w:w="3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CTD</w:t>
            </w:r>
          </w:p>
        </w:tc>
        <w:tc>
          <w:tcPr>
            <w:tcW w:type="pct" w:w="75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Nessun addestramento</w:t>
            </w:r>
          </w:p>
        </w:tc>
        <w:tc>
          <w:tcPr>
            <w:tcW w:type="pct" w:w="7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Responsabile</w:t>
            </w:r>
          </w:p>
        </w:tc>
        <w:tc>
          <w:tcPr>
            <w:tcW w:type="pct" w:w="500"/>
            <w:shd w:fill="EEF2F7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Verificato il</w:t>
            </w:r>
          </w:p>
        </w:tc>
      </w:tr>
      <w:tr>
        <w:tc>
          <w:tcPr>
            <w:tcW w:type="pct" w:w="5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  <w:tr>
        <w:tc>
          <w:tcPr>
            <w:tcW w:type="pct" w:w="5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  <w:tr>
        <w:tc>
          <w:tcPr>
            <w:tcW w:type="pct" w:w="5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  <w:tr>
        <w:tc>
          <w:tcPr>
            <w:tcW w:type="pct" w:w="5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  <w:tr>
        <w:tc>
          <w:tcPr>
            <w:tcW w:type="pct" w:w="5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3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sì / no</w:t>
            </w:r>
          </w:p>
        </w:tc>
        <w:tc>
          <w:tcPr>
            <w:tcW w:type="pct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  <w:tc>
          <w:tcPr>
            <w:tcW w:type="pct" w:w="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/>
            </w:pPr>
          </w:p>
        </w:tc>
      </w:tr>
    </w:tbl>
    <w:p/>
    <w:p>
      <w:r>
        <w:rPr>
          <w:i/>
          <w:iCs/>
        </w:rPr>
        <w:t xml:space="preserve">Stato:</w:t>
      </w:r>
      <w:r>
        <w:t xml:space="preserve"> approvato, respinto o in fase di verifica. </w:t>
      </w:r>
      <w:r>
        <w:rPr>
          <w:i/>
          <w:iCs/>
        </w:rPr>
        <w:t xml:space="preserve">Livello di dati:</w:t>
      </w:r>
      <w:r>
        <w:t xml:space="preserve"> Verde, Giallo o Rosso (sezione 4). </w:t>
      </w:r>
      <w:r>
        <w:rPr>
          <w:i/>
          <w:iCs/>
        </w:rPr>
        <w:t xml:space="preserve">Ubicazione:</w:t>
      </w:r>
      <w:r>
        <w:t xml:space="preserve"> dove il fornitore tratta e conserva i dati (ad es. CH, UE, USA). </w:t>
      </w:r>
      <w:r>
        <w:rPr>
          <w:i/>
          <w:iCs/>
        </w:rPr>
        <w:t xml:space="preserve">CTD:</w:t>
      </w:r>
      <w:r>
        <w:t xml:space="preserve"> contratto di trattamento dei dati con il fornitore disponibile. </w:t>
      </w:r>
      <w:r>
        <w:rPr>
          <w:i/>
          <w:iCs/>
        </w:rPr>
        <w:t xml:space="preserve">Nessun addestramento:</w:t>
      </w:r>
      <w:r>
        <w:t xml:space="preserve"> il fornitore non utilizza i vostri dati per addestrare i propri modelli.</w:t>
      </w:r>
    </w:p>
    <w:sectPr>
      <w:footerReference w:type="default" r:id="rId6"/>
      <w:pgSz w:w="11906" w:h="16838" w:orient="portrait"/>
      <w:pgMar w:top="1134" w:right="1800" w:bottom="1134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aicompliant.ch · Modello: direttiva sull'IA per PMI svizzere ·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  <w:lvl w:ilvl="1" w:tentative="1">
      <w:start w:val="1"/>
      <w:numFmt w:val="bullet"/>
      <w:lvlText w:val="–"/>
      <w:lvlJc w:val="left"/>
      <w:pPr>
        <w:ind w:left="720" w:hanging="360"/>
      </w:pPr>
    </w:lvl>
    <w:lvl w:ilvl="2" w:tentative="1">
      <w:start w:val="1"/>
      <w:numFmt w:val="bullet"/>
      <w:lvlText w:val="•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38"/>
      <w:szCs w:val="38"/>
    </w:rPr>
  </w:style>
  <w:style w:type="paragraph" w:styleId="Heading1">
    <w:name w:val="Heading 1"/>
    <w:basedOn w:val="Normal"/>
    <w:next w:val="Normal"/>
    <w:qFormat/>
    <w:pPr>
      <w:spacing w:after="120" w:before="48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Modello: direttiva sull'IA per PMI svizzere</dc:title>
  <dc:creator>aicompliant.ch</dc:creator>
  <cp:lastModifiedBy>Un-named</cp:lastModifiedBy>
  <cp:revision>1</cp:revision>
  <dcterms:created xsi:type="dcterms:W3CDTF">2026-11-01T12:48:24.111Z</dcterms:created>
  <dcterms:modified xsi:type="dcterms:W3CDTF">2026-11-01T12:48:24.111Z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