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t xml:space="preserve">Modèle : Directive IA pour les PME suisses</w:t>
      </w:r>
    </w:p>
    <w:p>
      <w:pPr>
        <w:pBdr>
          <w:left w:val="single" w:color="94A3B8" w:sz="18" w:space="8"/>
        </w:pBdr>
        <w:shd w:fill="EEF2F7" w:color="auto" w:val="clear"/>
        <w:ind w:left="240" w:right="240"/>
      </w:pPr>
      <w:r>
        <w:rPr>
          <w:b/>
          <w:bCs/>
        </w:rPr>
        <w:t xml:space="preserve">Remarques d'utilisation (à supprimer avant la mise en vigueur)</w:t>
      </w:r>
    </w:p>
    <w:p>
      <w:pPr>
        <w:pStyle w:val="ListParagraph"/>
        <w:numPr>
          <w:ilvl w:val="0"/>
          <w:numId w:val="2"/>
        </w:numPr>
        <w:pBdr>
          <w:left w:val="single" w:color="94A3B8" w:sz="18" w:space="8"/>
        </w:pBdr>
        <w:shd w:fill="EEF2F7" w:color="auto" w:val="clear"/>
        <w:spacing w:after="60"/>
        <w:ind w:left="600" w:right="240" w:hanging="360"/>
      </w:pPr>
      <w:r>
        <w:t xml:space="preserve">Ce modèle constitue un point de départ, et non un conseil juridique. Adaptez-le à votre entreprise et faites-le vérifier au besoin par un·e spécialiste.</w:t>
      </w:r>
    </w:p>
    <w:p>
      <w:pPr>
        <w:pStyle w:val="ListParagraph"/>
        <w:numPr>
          <w:ilvl w:val="0"/>
          <w:numId w:val="2"/>
        </w:numPr>
        <w:pBdr>
          <w:left w:val="single" w:color="94A3B8" w:sz="18" w:space="8"/>
        </w:pBdr>
        <w:shd w:fill="EEF2F7" w:color="auto" w:val="clear"/>
        <w:spacing w:after="60"/>
        <w:ind w:left="600" w:right="240" w:hanging="360"/>
      </w:pPr>
      <w:r>
        <w:t xml:space="preserve">Remplacez toutes les indications entre </w:t>
      </w:r>
      <w:r>
        <w:rPr>
          <w:b/>
          <w:bCs/>
          <w:highlight w:val="yellow"/>
        </w:rPr>
        <w:t xml:space="preserve">[crochets]</w:t>
      </w:r>
      <w:r>
        <w:t xml:space="preserve">. Biffez ce qui ne s'applique pas à votre cas.</w:t>
      </w:r>
    </w:p>
    <w:p>
      <w:pPr>
        <w:pStyle w:val="ListParagraph"/>
        <w:numPr>
          <w:ilvl w:val="0"/>
          <w:numId w:val="2"/>
        </w:numPr>
        <w:pBdr>
          <w:left w:val="single" w:color="94A3B8" w:sz="18" w:space="8"/>
        </w:pBdr>
        <w:shd w:fill="EEF2F7" w:color="auto" w:val="clear"/>
        <w:spacing w:after="60"/>
        <w:ind w:left="600" w:right="240" w:hanging="360"/>
      </w:pPr>
      <w:r>
        <w:rPr>
          <w:b/>
          <w:bCs/>
        </w:rPr>
        <w:t xml:space="preserve">Petites entreprises (1 à 9 collaborateurs/trices) :</w:t>
      </w:r>
      <w:r>
        <w:t xml:space="preserve"> les sections 8 et 9 peuvent être réduites à une phrase chacune. La personne responsable de l'IA est en général la ou le titulaire de l'entreprise.</w:t>
      </w:r>
    </w:p>
    <w:p>
      <w:pPr>
        <w:pStyle w:val="ListParagraph"/>
        <w:numPr>
          <w:ilvl w:val="0"/>
          <w:numId w:val="2"/>
        </w:numPr>
        <w:pBdr>
          <w:left w:val="single" w:color="94A3B8" w:sz="18" w:space="8"/>
        </w:pBdr>
        <w:shd w:fill="EEF2F7" w:color="auto" w:val="clear"/>
        <w:spacing w:after="60"/>
        <w:ind w:left="600" w:right="240" w:hanging="360"/>
      </w:pPr>
      <w:r>
        <w:rPr>
          <w:b/>
          <w:bCs/>
        </w:rPr>
        <w:t xml:space="preserve">Branches soumises au secret professionnel</w:t>
      </w:r>
      <w:r>
        <w:t xml:space="preserve"> (p. ex. fiduciaire, avocature, santé) ou </w:t>
      </w:r>
      <w:r>
        <w:rPr>
          <w:b/>
          <w:bCs/>
        </w:rPr>
        <w:t xml:space="preserve">sous surveillance FINMA :</w:t>
      </w:r>
      <w:r>
        <w:t xml:space="preserve"> vérifiez si des règles plus strictes que celles prévues par ce modèle sont nécessaires.</w:t>
      </w:r>
    </w:p>
    <w:p>
      <w:pPr>
        <w:pStyle w:val="ListParagraph"/>
        <w:numPr>
          <w:ilvl w:val="0"/>
          <w:numId w:val="2"/>
        </w:numPr>
        <w:pBdr>
          <w:left w:val="single" w:color="94A3B8" w:sz="18" w:space="8"/>
        </w:pBdr>
        <w:shd w:fill="EEF2F7" w:color="auto" w:val="clear"/>
        <w:spacing w:after="60"/>
        <w:ind w:left="600" w:right="240" w:hanging="360"/>
      </w:pPr>
      <w:r>
        <w:t xml:space="preserve">Ce modèle correspond au KI-Check sur aicompliant.ch : il couvre les points autorisation des outils, données, formation, transparence, décisions concernant des personnes, responsabilité et incidents.</w:t>
      </w:r>
    </w:p>
    <w:p>
      <w:pPr>
        <w:pBdr>
          <w:bottom w:val="single" w:color="94A3B8" w:sz="6" w:space="1"/>
        </w:pBdr>
      </w:pPr>
    </w:p>
    <w:p>
      <w:r>
        <w:rPr>
          <w:b/>
          <w:bCs/>
          <w:highlight w:val="yellow"/>
        </w:rPr>
        <w:t xml:space="preserve">[Nom de l'entreprise]</w:t>
      </w:r>
      <w:r>
        <w:br/>
      </w:r>
      <w:r>
        <w:rPr>
          <w:b/>
          <w:bCs/>
        </w:rPr>
        <w:t xml:space="preserve">Directive IA</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70"/>
        <w:gridCol w:w="4236"/>
      </w:tblGrid>
      <w:tr>
        <w:tc>
          <w:tcPr>
            <w:tcW w:type="pct" w:w="2450"/>
            <w:tcMar>
              <w:top w:type="dxa" w:w="40"/>
              <w:left w:type="dxa" w:w="60"/>
              <w:bottom w:type="dxa" w:w="40"/>
              <w:right w:type="dxa" w:w="60"/>
            </w:tcMar>
          </w:tcPr>
          <w:p>
            <w:pPr>
              <w:spacing w:after="0"/>
            </w:pPr>
            <w:r>
              <w:t xml:space="preserve">Version</w:t>
            </w:r>
          </w:p>
        </w:tc>
        <w:tc>
          <w:tcPr>
            <w:tcW w:type="pct" w:w="2550"/>
            <w:tcMar>
              <w:top w:type="dxa" w:w="40"/>
              <w:left w:type="dxa" w:w="60"/>
              <w:bottom w:type="dxa" w:w="40"/>
              <w:right w:type="dxa" w:w="60"/>
            </w:tcMar>
          </w:tcPr>
          <w:p>
            <w:pPr>
              <w:spacing w:after="0"/>
            </w:pPr>
            <w:r>
              <w:rPr>
                <w:highlight w:val="yellow"/>
              </w:rPr>
              <w:t xml:space="preserve">[1.0]</w:t>
            </w:r>
          </w:p>
        </w:tc>
      </w:tr>
      <w:tr>
        <w:tc>
          <w:tcPr>
            <w:tcW w:type="pct" w:w="2450"/>
            <w:tcMar>
              <w:top w:type="dxa" w:w="40"/>
              <w:left w:type="dxa" w:w="60"/>
              <w:bottom w:type="dxa" w:w="40"/>
              <w:right w:type="dxa" w:w="60"/>
            </w:tcMar>
          </w:tcPr>
          <w:p>
            <w:pPr>
              <w:spacing w:after="0"/>
            </w:pPr>
            <w:r>
              <w:t xml:space="preserve">Valable dès le</w:t>
            </w:r>
          </w:p>
        </w:tc>
        <w:tc>
          <w:tcPr>
            <w:tcW w:type="pct" w:w="2550"/>
            <w:tcMar>
              <w:top w:type="dxa" w:w="40"/>
              <w:left w:type="dxa" w:w="60"/>
              <w:bottom w:type="dxa" w:w="40"/>
              <w:right w:type="dxa" w:w="60"/>
            </w:tcMar>
          </w:tcPr>
          <w:p>
            <w:pPr>
              <w:spacing w:after="0"/>
            </w:pPr>
            <w:r>
              <w:rPr>
                <w:highlight w:val="yellow"/>
              </w:rPr>
              <w:t xml:space="preserve">[JJ.MM.AAAA]</w:t>
            </w:r>
          </w:p>
        </w:tc>
      </w:tr>
      <w:tr>
        <w:tc>
          <w:tcPr>
            <w:tcW w:type="pct" w:w="2450"/>
            <w:tcMar>
              <w:top w:type="dxa" w:w="40"/>
              <w:left w:type="dxa" w:w="60"/>
              <w:bottom w:type="dxa" w:w="40"/>
              <w:right w:type="dxa" w:w="60"/>
            </w:tcMar>
          </w:tcPr>
          <w:p>
            <w:pPr>
              <w:spacing w:after="0"/>
            </w:pPr>
            <w:r>
              <w:t xml:space="preserve">Responsable</w:t>
            </w:r>
          </w:p>
        </w:tc>
        <w:tc>
          <w:tcPr>
            <w:tcW w:type="pct" w:w="2550"/>
            <w:tcMar>
              <w:top w:type="dxa" w:w="40"/>
              <w:left w:type="dxa" w:w="60"/>
              <w:bottom w:type="dxa" w:w="40"/>
              <w:right w:type="dxa" w:w="60"/>
            </w:tcMar>
          </w:tcPr>
          <w:p>
            <w:pPr>
              <w:spacing w:after="0"/>
            </w:pPr>
            <w:r>
              <w:rPr>
                <w:highlight w:val="yellow"/>
              </w:rPr>
              <w:t xml:space="preserve">[Nom, fonction]</w:t>
            </w:r>
            <w:r>
              <w:t xml:space="preserve"> (ci-après « personne responsable de l'IA »)</w:t>
            </w:r>
          </w:p>
        </w:tc>
      </w:tr>
      <w:tr>
        <w:tc>
          <w:tcPr>
            <w:tcW w:type="pct" w:w="2450"/>
            <w:tcMar>
              <w:top w:type="dxa" w:w="40"/>
              <w:left w:type="dxa" w:w="60"/>
              <w:bottom w:type="dxa" w:w="40"/>
              <w:right w:type="dxa" w:w="60"/>
            </w:tcMar>
          </w:tcPr>
          <w:p>
            <w:pPr>
              <w:spacing w:after="0"/>
            </w:pPr>
            <w:r>
              <w:t xml:space="preserve">Approuvé par</w:t>
            </w:r>
          </w:p>
        </w:tc>
        <w:tc>
          <w:tcPr>
            <w:tcW w:type="pct" w:w="2550"/>
            <w:tcMar>
              <w:top w:type="dxa" w:w="40"/>
              <w:left w:type="dxa" w:w="60"/>
              <w:bottom w:type="dxa" w:w="40"/>
              <w:right w:type="dxa" w:w="60"/>
            </w:tcMar>
          </w:tcPr>
          <w:p>
            <w:pPr>
              <w:spacing w:after="0"/>
            </w:pPr>
            <w:r>
              <w:rPr>
                <w:highlight w:val="yellow"/>
              </w:rPr>
              <w:t xml:space="preserve">[Direction / Nom]</w:t>
            </w:r>
          </w:p>
        </w:tc>
      </w:tr>
      <w:tr>
        <w:tc>
          <w:tcPr>
            <w:tcW w:type="pct" w:w="2450"/>
            <w:tcMar>
              <w:top w:type="dxa" w:w="40"/>
              <w:left w:type="dxa" w:w="60"/>
              <w:bottom w:type="dxa" w:w="40"/>
              <w:right w:type="dxa" w:w="60"/>
            </w:tcMar>
          </w:tcPr>
          <w:p>
            <w:pPr>
              <w:spacing w:after="0"/>
            </w:pPr>
            <w:r>
              <w:t xml:space="preserve">Prochaine révision</w:t>
            </w:r>
          </w:p>
        </w:tc>
        <w:tc>
          <w:tcPr>
            <w:tcW w:type="pct" w:w="2550"/>
            <w:tcMar>
              <w:top w:type="dxa" w:w="40"/>
              <w:left w:type="dxa" w:w="60"/>
              <w:bottom w:type="dxa" w:w="40"/>
              <w:right w:type="dxa" w:w="60"/>
            </w:tcMar>
          </w:tcPr>
          <w:p>
            <w:pPr>
              <w:spacing w:after="0"/>
            </w:pPr>
            <w:r>
              <w:rPr>
                <w:highlight w:val="yellow"/>
              </w:rPr>
              <w:t xml:space="preserve">[JJ.MM.AAAA, au plus tard 12 mois après la mise en vigueur]</w:t>
            </w:r>
          </w:p>
        </w:tc>
      </w:tr>
    </w:tbl>
    <w:p/>
    <w:p>
      <w:pPr>
        <w:pStyle w:val="Heading1"/>
        <w:keepNext/>
      </w:pPr>
      <w:r>
        <w:t xml:space="preserve">1. But et champ d'application</w:t>
      </w:r>
    </w:p>
    <w:p>
      <w:r>
        <w:t xml:space="preserve">Cette directive règle la manière dont les outils d'intelligence artificielle (IA) sont utilisés chez </w:t>
      </w:r>
      <w:r>
        <w:rPr>
          <w:highlight w:val="yellow"/>
        </w:rPr>
        <w:t xml:space="preserve">[Nom de l'entreprise]</w:t>
      </w:r>
      <w:r>
        <w:t xml:space="preserve">. Elle vise à permettre de tirer parti de l'IA tout en protégeant les données personnelles, les secrets d'affaires et notre réputation.</w:t>
      </w:r>
    </w:p>
    <w:p>
      <w:r>
        <w:t xml:space="preserve">Elle s'applique :</w:t>
      </w:r>
    </w:p>
    <w:p>
      <w:pPr>
        <w:pStyle w:val="ListParagraph"/>
        <w:numPr>
          <w:ilvl w:val="0"/>
          <w:numId w:val="3"/>
        </w:numPr>
        <w:spacing w:after="60"/>
        <w:ind w:left="360" w:hanging="360"/>
      </w:pPr>
      <w:r>
        <w:t xml:space="preserve">à tous les collaborateurs et collaboratrices, apprenti·e·s, stagiaires ainsi qu'aux </w:t>
      </w:r>
      <w:r>
        <w:rPr>
          <w:highlight w:val="yellow"/>
        </w:rPr>
        <w:t xml:space="preserve">[collaborateurs/trices indépendant·e·s / mandataires]</w:t>
      </w:r>
      <w:r>
        <w:t xml:space="preserve">, dans la mesure où ils travaillent pour nous ;</w:t>
      </w:r>
    </w:p>
    <w:p>
      <w:pPr>
        <w:pStyle w:val="ListParagraph"/>
        <w:numPr>
          <w:ilvl w:val="0"/>
          <w:numId w:val="3"/>
        </w:numPr>
        <w:spacing w:after="60"/>
        <w:ind w:left="360" w:hanging="360"/>
      </w:pPr>
      <w:r>
        <w:t xml:space="preserve">à tous les outils d'IA générant du texte, des images, de l'audio, du code ou des analyses, y compris les fonctions d'IA intégrées à des logiciels existants (p. ex. dans les programmes bureautiques, le CRM ou le logiciel de comptabilité) ;</w:t>
      </w:r>
    </w:p>
    <w:p>
      <w:pPr>
        <w:pStyle w:val="ListParagraph"/>
        <w:numPr>
          <w:ilvl w:val="0"/>
          <w:numId w:val="3"/>
        </w:numPr>
        <w:spacing w:after="60"/>
        <w:ind w:left="360" w:hanging="360"/>
      </w:pPr>
      <w:r>
        <w:t xml:space="preserve">à l'utilisation sur des appareils de l'entreprise et sur des appareils privés, dans la mesure où il s'agit de travail pour </w:t>
      </w:r>
      <w:r>
        <w:rPr>
          <w:highlight w:val="yellow"/>
        </w:rPr>
        <w:t xml:space="preserve">[Nom de l'entreprise]</w:t>
      </w:r>
      <w:r>
        <w:t xml:space="preserve">.</w:t>
      </w:r>
    </w:p>
    <w:p>
      <w:pPr>
        <w:pStyle w:val="Heading1"/>
        <w:keepNext/>
      </w:pPr>
      <w:r>
        <w:t xml:space="preserve">2. Principes</w:t>
      </w:r>
    </w:p>
    <w:p>
      <w:pPr>
        <w:pStyle w:val="ListParagraph"/>
        <w:numPr>
          <w:ilvl w:val="0"/>
          <w:numId w:val="4"/>
        </w:numPr>
        <w:spacing w:after="60"/>
        <w:ind w:left="360" w:hanging="360"/>
      </w:pPr>
      <w:r>
        <w:rPr>
          <w:b/>
          <w:bCs/>
        </w:rPr>
        <w:t xml:space="preserve">L'humain reste responsable.</w:t>
      </w:r>
      <w:r>
        <w:t xml:space="preserve"> L'IA est un outil. La personne qui utilise un résultat en est responsable.</w:t>
      </w:r>
    </w:p>
    <w:p>
      <w:pPr>
        <w:pStyle w:val="ListParagraph"/>
        <w:numPr>
          <w:ilvl w:val="0"/>
          <w:numId w:val="4"/>
        </w:numPr>
        <w:spacing w:after="60"/>
        <w:ind w:left="360" w:hanging="360"/>
      </w:pPr>
      <w:r>
        <w:rPr>
          <w:b/>
          <w:bCs/>
        </w:rPr>
        <w:t xml:space="preserve">Seuls les outils autorisés.</w:t>
      </w:r>
      <w:r>
        <w:t xml:space="preserve"> Pour le travail, nous n'utilisons que les outils d'IA autorisés à la section 3.</w:t>
      </w:r>
    </w:p>
    <w:p>
      <w:pPr>
        <w:pStyle w:val="ListParagraph"/>
        <w:numPr>
          <w:ilvl w:val="0"/>
          <w:numId w:val="4"/>
        </w:numPr>
        <w:spacing w:after="60"/>
        <w:ind w:left="360" w:hanging="360"/>
      </w:pPr>
      <w:r>
        <w:rPr>
          <w:b/>
          <w:bCs/>
        </w:rPr>
        <w:t xml:space="preserve">Protéger les données.</w:t>
      </w:r>
      <w:r>
        <w:t xml:space="preserve"> Ce qui est saisi dans un outil d'IA peut quitter l'entreprise. Les règles de la section 4 s'appliquent en tout temps.</w:t>
      </w:r>
    </w:p>
    <w:p>
      <w:pPr>
        <w:pStyle w:val="ListParagraph"/>
        <w:numPr>
          <w:ilvl w:val="0"/>
          <w:numId w:val="4"/>
        </w:numPr>
        <w:spacing w:after="60"/>
        <w:ind w:left="360" w:hanging="360"/>
      </w:pPr>
      <w:r>
        <w:rPr>
          <w:b/>
          <w:bCs/>
        </w:rPr>
        <w:t xml:space="preserve">Vérifier les résultats.</w:t>
      </w:r>
      <w:r>
        <w:t xml:space="preserve"> L'IA peut produire des erreurs qui paraissent convaincantes. Les résultats sont vérifiés avant utilisation (section 5).</w:t>
      </w:r>
    </w:p>
    <w:p>
      <w:pPr>
        <w:pStyle w:val="ListParagraph"/>
        <w:numPr>
          <w:ilvl w:val="0"/>
          <w:numId w:val="4"/>
        </w:numPr>
        <w:spacing w:after="60"/>
        <w:ind w:left="360" w:hanging="360"/>
      </w:pPr>
      <w:r>
        <w:rPr>
          <w:b/>
          <w:bCs/>
        </w:rPr>
        <w:t xml:space="preserve">En cas de doute, demander.</w:t>
      </w:r>
      <w:r>
        <w:t xml:space="preserve"> En cas d'incertitude, adressez-vous à la personne responsable de l'IA avant d'agir.</w:t>
      </w:r>
    </w:p>
    <w:p>
      <w:pPr>
        <w:pStyle w:val="Heading1"/>
        <w:keepNext/>
      </w:pPr>
      <w:r>
        <w:t xml:space="preserve">3. Outils d'IA autorisés</w:t>
      </w:r>
    </w:p>
    <w:p>
      <w:r>
        <w:t xml:space="preserve">Les outils suivants sont autorisés pour le travail :</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10"/>
        <w:gridCol w:w="2160"/>
        <w:gridCol w:w="2243"/>
        <w:gridCol w:w="1910"/>
      </w:tblGrid>
      <w:tr>
        <w:trPr>
          <w:tblHeader/>
        </w:trPr>
        <w:tc>
          <w:tcPr>
            <w:tcW w:type="pct" w:w="1150"/>
            <w:shd w:fill="EEF2F7" w:color="auto" w:val="clear"/>
            <w:tcMar>
              <w:top w:type="dxa" w:w="40"/>
              <w:left w:type="dxa" w:w="60"/>
              <w:bottom w:type="dxa" w:w="40"/>
              <w:right w:type="dxa" w:w="60"/>
            </w:tcMar>
          </w:tcPr>
          <w:p>
            <w:pPr>
              <w:spacing w:after="0"/>
            </w:pPr>
            <w:r>
              <w:rPr>
                <w:b/>
                <w:bCs/>
              </w:rPr>
              <w:t xml:space="preserve">Outil</w:t>
            </w:r>
          </w:p>
        </w:tc>
        <w:tc>
          <w:tcPr>
            <w:tcW w:type="pct" w:w="1300"/>
            <w:shd w:fill="EEF2F7" w:color="auto" w:val="clear"/>
            <w:tcMar>
              <w:top w:type="dxa" w:w="40"/>
              <w:left w:type="dxa" w:w="60"/>
              <w:bottom w:type="dxa" w:w="40"/>
              <w:right w:type="dxa" w:w="60"/>
            </w:tcMar>
          </w:tcPr>
          <w:p>
            <w:pPr>
              <w:spacing w:after="0"/>
            </w:pPr>
            <w:r>
              <w:rPr>
                <w:b/>
                <w:bCs/>
              </w:rPr>
              <w:t xml:space="preserve">Compte / licence</w:t>
            </w:r>
          </w:p>
        </w:tc>
        <w:tc>
          <w:tcPr>
            <w:tcW w:type="pct" w:w="1350"/>
            <w:shd w:fill="EEF2F7" w:color="auto" w:val="clear"/>
            <w:tcMar>
              <w:top w:type="dxa" w:w="40"/>
              <w:left w:type="dxa" w:w="60"/>
              <w:bottom w:type="dxa" w:w="40"/>
              <w:right w:type="dxa" w:w="60"/>
            </w:tcMar>
          </w:tcPr>
          <w:p>
            <w:pPr>
              <w:spacing w:after="0"/>
            </w:pPr>
            <w:r>
              <w:rPr>
                <w:b/>
                <w:bCs/>
              </w:rPr>
              <w:t xml:space="preserve">Utilisation autorisée</w:t>
            </w:r>
          </w:p>
        </w:tc>
        <w:tc>
          <w:tcPr>
            <w:tcW w:type="pct" w:w="1150"/>
            <w:shd w:fill="EEF2F7" w:color="auto" w:val="clear"/>
            <w:tcMar>
              <w:top w:type="dxa" w:w="40"/>
              <w:left w:type="dxa" w:w="60"/>
              <w:bottom w:type="dxa" w:w="40"/>
              <w:right w:type="dxa" w:w="60"/>
            </w:tcMar>
          </w:tcPr>
          <w:p>
            <w:pPr>
              <w:spacing w:after="0"/>
            </w:pPr>
            <w:r>
              <w:rPr>
                <w:b/>
                <w:bCs/>
              </w:rPr>
              <w:t xml:space="preserve">Niveau de données maximal autorisé (voir section 4)</w:t>
            </w:r>
          </w:p>
        </w:tc>
      </w:tr>
      <w:tr>
        <w:tc>
          <w:tcPr>
            <w:tcW w:type="pct" w:w="1150"/>
            <w:tcMar>
              <w:top w:type="dxa" w:w="40"/>
              <w:left w:type="dxa" w:w="60"/>
              <w:bottom w:type="dxa" w:w="40"/>
              <w:right w:type="dxa" w:w="60"/>
            </w:tcMar>
          </w:tcPr>
          <w:p>
            <w:pPr>
              <w:spacing w:after="0"/>
            </w:pPr>
            <w:r>
              <w:rPr>
                <w:highlight w:val="yellow"/>
              </w:rPr>
              <w:t xml:space="preserve">[p. ex. Microsoft 365 Copilot]</w:t>
            </w:r>
          </w:p>
        </w:tc>
        <w:tc>
          <w:tcPr>
            <w:tcW w:type="pct" w:w="1300"/>
            <w:tcMar>
              <w:top w:type="dxa" w:w="40"/>
              <w:left w:type="dxa" w:w="60"/>
              <w:bottom w:type="dxa" w:w="40"/>
              <w:right w:type="dxa" w:w="60"/>
            </w:tcMar>
          </w:tcPr>
          <w:p>
            <w:pPr>
              <w:spacing w:after="0"/>
            </w:pPr>
            <w:r>
              <w:rPr>
                <w:highlight w:val="yellow"/>
              </w:rPr>
              <w:t xml:space="preserve">[Licence Business de l'entreprise]</w:t>
            </w:r>
          </w:p>
        </w:tc>
        <w:tc>
          <w:tcPr>
            <w:tcW w:type="pct" w:w="1350"/>
            <w:tcMar>
              <w:top w:type="dxa" w:w="40"/>
              <w:left w:type="dxa" w:w="60"/>
              <w:bottom w:type="dxa" w:w="40"/>
              <w:right w:type="dxa" w:w="60"/>
            </w:tcMar>
          </w:tcPr>
          <w:p>
            <w:pPr>
              <w:spacing w:after="0"/>
            </w:pPr>
            <w:r>
              <w:rPr>
                <w:highlight w:val="yellow"/>
              </w:rPr>
              <w:t xml:space="preserve">[Rédaction de textes, résumés, recherche]</w:t>
            </w:r>
          </w:p>
        </w:tc>
        <w:tc>
          <w:tcPr>
            <w:tcW w:type="pct" w:w="1150"/>
            <w:tcMar>
              <w:top w:type="dxa" w:w="40"/>
              <w:left w:type="dxa" w:w="60"/>
              <w:bottom w:type="dxa" w:w="40"/>
              <w:right w:type="dxa" w:w="60"/>
            </w:tcMar>
          </w:tcPr>
          <w:p>
            <w:pPr>
              <w:spacing w:after="0"/>
            </w:pPr>
            <w:r>
              <w:rPr>
                <w:highlight w:val="yellow"/>
              </w:rPr>
              <w:t xml:space="preserve">[Jaune]</w:t>
            </w:r>
          </w:p>
        </w:tc>
      </w:tr>
      <w:tr>
        <w:tc>
          <w:tcPr>
            <w:tcW w:type="pct" w:w="1150"/>
            <w:tcMar>
              <w:top w:type="dxa" w:w="40"/>
              <w:left w:type="dxa" w:w="60"/>
              <w:bottom w:type="dxa" w:w="40"/>
              <w:right w:type="dxa" w:w="60"/>
            </w:tcMar>
          </w:tcPr>
          <w:p>
            <w:pPr>
              <w:spacing w:after="0"/>
            </w:pPr>
            <w:r>
              <w:rPr>
                <w:highlight w:val="yellow"/>
              </w:rPr>
              <w:t xml:space="preserve">[p. ex. DeepL Pro]</w:t>
            </w:r>
          </w:p>
        </w:tc>
        <w:tc>
          <w:tcPr>
            <w:tcW w:type="pct" w:w="1300"/>
            <w:tcMar>
              <w:top w:type="dxa" w:w="40"/>
              <w:left w:type="dxa" w:w="60"/>
              <w:bottom w:type="dxa" w:w="40"/>
              <w:right w:type="dxa" w:w="60"/>
            </w:tcMar>
          </w:tcPr>
          <w:p>
            <w:pPr>
              <w:spacing w:after="0"/>
            </w:pPr>
            <w:r>
              <w:rPr>
                <w:highlight w:val="yellow"/>
              </w:rPr>
              <w:t xml:space="preserve">[Compte de l'entreprise]</w:t>
            </w:r>
          </w:p>
        </w:tc>
        <w:tc>
          <w:tcPr>
            <w:tcW w:type="pct" w:w="1350"/>
            <w:tcMar>
              <w:top w:type="dxa" w:w="40"/>
              <w:left w:type="dxa" w:w="60"/>
              <w:bottom w:type="dxa" w:w="40"/>
              <w:right w:type="dxa" w:w="60"/>
            </w:tcMar>
          </w:tcPr>
          <w:p>
            <w:pPr>
              <w:spacing w:after="0"/>
            </w:pPr>
            <w:r>
              <w:rPr>
                <w:highlight w:val="yellow"/>
              </w:rPr>
              <w:t xml:space="preserve">[Traductions]</w:t>
            </w:r>
          </w:p>
        </w:tc>
        <w:tc>
          <w:tcPr>
            <w:tcW w:type="pct" w:w="1150"/>
            <w:tcMar>
              <w:top w:type="dxa" w:w="40"/>
              <w:left w:type="dxa" w:w="60"/>
              <w:bottom w:type="dxa" w:w="40"/>
              <w:right w:type="dxa" w:w="60"/>
            </w:tcMar>
          </w:tcPr>
          <w:p>
            <w:pPr>
              <w:spacing w:after="0"/>
            </w:pPr>
            <w:r>
              <w:rPr>
                <w:highlight w:val="yellow"/>
              </w:rPr>
              <w:t xml:space="preserve">[Jaune]</w:t>
            </w:r>
          </w:p>
        </w:tc>
      </w:tr>
      <w:tr>
        <w:tc>
          <w:tcPr>
            <w:tcW w:type="pct" w:w="1150"/>
            <w:tcMar>
              <w:top w:type="dxa" w:w="40"/>
              <w:left w:type="dxa" w:w="60"/>
              <w:bottom w:type="dxa" w:w="40"/>
              <w:right w:type="dxa" w:w="60"/>
            </w:tcMar>
          </w:tcPr>
          <w:p>
            <w:pPr>
              <w:spacing w:after="0"/>
            </w:pPr>
            <w:r>
              <w:rPr>
                <w:highlight w:val="yellow"/>
              </w:rPr>
              <w:t xml:space="preserve">[Outil]</w:t>
            </w:r>
          </w:p>
        </w:tc>
        <w:tc>
          <w:tcPr>
            <w:tcW w:type="pct" w:w="1300"/>
            <w:tcMar>
              <w:top w:type="dxa" w:w="40"/>
              <w:left w:type="dxa" w:w="60"/>
              <w:bottom w:type="dxa" w:w="40"/>
              <w:right w:type="dxa" w:w="60"/>
            </w:tcMar>
          </w:tcPr>
          <w:p>
            <w:pPr>
              <w:spacing w:after="0"/>
            </w:pPr>
            <w:r>
              <w:rPr>
                <w:highlight w:val="yellow"/>
              </w:rPr>
              <w:t xml:space="preserve">[Compte]</w:t>
            </w:r>
          </w:p>
        </w:tc>
        <w:tc>
          <w:tcPr>
            <w:tcW w:type="pct" w:w="1350"/>
            <w:tcMar>
              <w:top w:type="dxa" w:w="40"/>
              <w:left w:type="dxa" w:w="60"/>
              <w:bottom w:type="dxa" w:w="40"/>
              <w:right w:type="dxa" w:w="60"/>
            </w:tcMar>
          </w:tcPr>
          <w:p>
            <w:pPr>
              <w:spacing w:after="0"/>
            </w:pPr>
            <w:r>
              <w:rPr>
                <w:highlight w:val="yellow"/>
              </w:rPr>
              <w:t xml:space="preserve">[Utilisation]</w:t>
            </w:r>
          </w:p>
        </w:tc>
        <w:tc>
          <w:tcPr>
            <w:tcW w:type="pct" w:w="1150"/>
            <w:tcMar>
              <w:top w:type="dxa" w:w="40"/>
              <w:left w:type="dxa" w:w="60"/>
              <w:bottom w:type="dxa" w:w="40"/>
              <w:right w:type="dxa" w:w="60"/>
            </w:tcMar>
          </w:tcPr>
          <w:p>
            <w:pPr>
              <w:spacing w:after="0"/>
            </w:pPr>
            <w:r>
              <w:rPr>
                <w:highlight w:val="yellow"/>
              </w:rPr>
              <w:t xml:space="preserve">[Vert / Jaune]</w:t>
            </w:r>
          </w:p>
        </w:tc>
      </w:tr>
    </w:tbl>
    <w:p/>
    <w:p>
      <w:r>
        <w:rPr>
          <w:b/>
          <w:bCs/>
        </w:rPr>
        <w:t xml:space="preserve">Nouveaux outils :</w:t>
      </w:r>
      <w:r>
        <w:t xml:space="preserve"> Toute personne souhaitant utiliser un autre outil d'IA en fait la demande à la personne responsable de l'IA. Avant d'autoriser un outil, la personne responsable de l'IA vérifie au minimum :</w:t>
      </w:r>
    </w:p>
    <w:p>
      <w:pPr>
        <w:pStyle w:val="ListParagraph"/>
        <w:numPr>
          <w:ilvl w:val="0"/>
          <w:numId w:val="5"/>
        </w:numPr>
        <w:spacing w:after="60"/>
        <w:ind w:left="360" w:hanging="360"/>
      </w:pPr>
      <w:r>
        <w:t xml:space="preserve">si un compte Business avec un contrat de sous-traitance (Data Processing Agreement) est disponible ;</w:t>
      </w:r>
    </w:p>
    <w:p>
      <w:pPr>
        <w:pStyle w:val="ListParagraph"/>
        <w:numPr>
          <w:ilvl w:val="0"/>
          <w:numId w:val="5"/>
        </w:numPr>
        <w:spacing w:after="60"/>
        <w:ind w:left="360" w:hanging="360"/>
      </w:pPr>
      <w:r>
        <w:t xml:space="preserve">si l'utilisation de nos données pour l'entraînement du fournisseur est exclue ;</w:t>
      </w:r>
    </w:p>
    <w:p>
      <w:pPr>
        <w:pStyle w:val="ListParagraph"/>
        <w:numPr>
          <w:ilvl w:val="0"/>
          <w:numId w:val="5"/>
        </w:numPr>
        <w:spacing w:after="60"/>
        <w:ind w:left="360" w:hanging="360"/>
      </w:pPr>
      <w:r>
        <w:t xml:space="preserve">où les données sont traitées et stockées, et si la communication à l'étranger est admissible (art. 16–17 LPD) ;</w:t>
      </w:r>
    </w:p>
    <w:p>
      <w:pPr>
        <w:pStyle w:val="ListParagraph"/>
        <w:numPr>
          <w:ilvl w:val="0"/>
          <w:numId w:val="5"/>
        </w:numPr>
        <w:spacing w:after="60"/>
        <w:ind w:left="360" w:hanging="360"/>
      </w:pPr>
      <w:r>
        <w:t xml:space="preserve">quel niveau de données doit être autorisé dans l'outil.</w:t>
      </w:r>
    </w:p>
    <w:p>
      <w:r>
        <w:rPr>
          <w:b/>
          <w:bCs/>
        </w:rPr>
        <w:t xml:space="preserve">N'est pas autorisée</w:t>
      </w:r>
      <w:r>
        <w:t xml:space="preserve"> l'utilisation de comptes privés ou gratuits pour des données professionnelles, même si l'outil lui-même est autorisé.</w:t>
      </w:r>
    </w:p>
    <w:p>
      <w:r>
        <w:rPr>
          <w:b/>
          <w:bCs/>
        </w:rPr>
        <w:t xml:space="preserve">Extensions et connecteurs :</w:t>
      </w:r>
      <w:r>
        <w:t xml:space="preserve"> les extensions de navigateur IA, modules complémentaires et connexions donnant à un outil d'IA accès aux e-mails, fichiers ou autres systèmes sont considérés comme des outils à part entière et nécessitent également une autorisation.</w:t>
      </w:r>
    </w:p>
    <w:p>
      <w:pPr>
        <w:pStyle w:val="Heading1"/>
        <w:keepNext/>
      </w:pPr>
      <w:r>
        <w:t xml:space="preserve">4. Quelles données sont admises dans les outils d'IA</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44"/>
        <w:gridCol w:w="4485"/>
        <w:gridCol w:w="2077"/>
      </w:tblGrid>
      <w:tr>
        <w:trPr>
          <w:tblHeader/>
        </w:trPr>
        <w:tc>
          <w:tcPr>
            <w:tcW w:type="pct" w:w="1050"/>
            <w:shd w:fill="EEF2F7" w:color="auto" w:val="clear"/>
            <w:tcMar>
              <w:top w:type="dxa" w:w="40"/>
              <w:left w:type="dxa" w:w="60"/>
              <w:bottom w:type="dxa" w:w="40"/>
              <w:right w:type="dxa" w:w="60"/>
            </w:tcMar>
          </w:tcPr>
          <w:p>
            <w:pPr>
              <w:spacing w:after="0"/>
            </w:pPr>
            <w:r>
              <w:rPr>
                <w:b/>
                <w:bCs/>
              </w:rPr>
              <w:t xml:space="preserve">Niveau</w:t>
            </w:r>
          </w:p>
        </w:tc>
        <w:tc>
          <w:tcPr>
            <w:tcW w:type="pct" w:w="2700"/>
            <w:shd w:fill="EEF2F7" w:color="auto" w:val="clear"/>
            <w:tcMar>
              <w:top w:type="dxa" w:w="40"/>
              <w:left w:type="dxa" w:w="60"/>
              <w:bottom w:type="dxa" w:w="40"/>
              <w:right w:type="dxa" w:w="60"/>
            </w:tcMar>
          </w:tcPr>
          <w:p>
            <w:pPr>
              <w:spacing w:after="0"/>
            </w:pPr>
            <w:r>
              <w:rPr>
                <w:b/>
                <w:bCs/>
              </w:rPr>
              <w:t xml:space="preserve">Exemples</w:t>
            </w:r>
          </w:p>
        </w:tc>
        <w:tc>
          <w:tcPr>
            <w:tcW w:type="pct" w:w="1250"/>
            <w:shd w:fill="EEF2F7" w:color="auto" w:val="clear"/>
            <w:tcMar>
              <w:top w:type="dxa" w:w="40"/>
              <w:left w:type="dxa" w:w="60"/>
              <w:bottom w:type="dxa" w:w="40"/>
              <w:right w:type="dxa" w:w="60"/>
            </w:tcMar>
          </w:tcPr>
          <w:p>
            <w:pPr>
              <w:spacing w:after="0"/>
            </w:pPr>
            <w:r>
              <w:rPr>
                <w:b/>
                <w:bCs/>
              </w:rPr>
              <w:t xml:space="preserve">Règle</w:t>
            </w:r>
          </w:p>
        </w:tc>
      </w:tr>
      <w:tr>
        <w:tc>
          <w:tcPr>
            <w:tcW w:type="pct" w:w="1050"/>
            <w:tcMar>
              <w:top w:type="dxa" w:w="40"/>
              <w:left w:type="dxa" w:w="60"/>
              <w:bottom w:type="dxa" w:w="40"/>
              <w:right w:type="dxa" w:w="60"/>
            </w:tcMar>
          </w:tcPr>
          <w:p>
            <w:pPr>
              <w:spacing w:after="0"/>
            </w:pPr>
            <w:r>
              <w:t xml:space="preserve">🟢 </w:t>
            </w:r>
            <w:r>
              <w:rPr>
                <w:b/>
                <w:bCs/>
              </w:rPr>
              <w:t xml:space="preserve">Vert</w:t>
            </w:r>
            <w:r>
              <w:t xml:space="preserve"> (public)</w:t>
            </w:r>
          </w:p>
        </w:tc>
        <w:tc>
          <w:tcPr>
            <w:tcW w:type="pct" w:w="2700"/>
            <w:tcMar>
              <w:top w:type="dxa" w:w="40"/>
              <w:left w:type="dxa" w:w="60"/>
              <w:bottom w:type="dxa" w:w="40"/>
              <w:right w:type="dxa" w:w="60"/>
            </w:tcMar>
          </w:tcPr>
          <w:p>
            <w:pPr>
              <w:spacing w:after="0"/>
            </w:pPr>
            <w:r>
              <w:t xml:space="preserve">Informations accessibles au public, questions générales, textes propres sans contenu confidentiel</w:t>
            </w:r>
          </w:p>
        </w:tc>
        <w:tc>
          <w:tcPr>
            <w:tcW w:type="pct" w:w="1250"/>
            <w:tcMar>
              <w:top w:type="dxa" w:w="40"/>
              <w:left w:type="dxa" w:w="60"/>
              <w:bottom w:type="dxa" w:w="40"/>
              <w:right w:type="dxa" w:w="60"/>
            </w:tcMar>
          </w:tcPr>
          <w:p>
            <w:pPr>
              <w:spacing w:after="0"/>
            </w:pPr>
            <w:r>
              <w:t xml:space="preserve">Autorisé dans tous les outils autorisés.</w:t>
            </w:r>
          </w:p>
        </w:tc>
      </w:tr>
      <w:tr>
        <w:tc>
          <w:tcPr>
            <w:tcW w:type="pct" w:w="1050"/>
            <w:tcMar>
              <w:top w:type="dxa" w:w="40"/>
              <w:left w:type="dxa" w:w="60"/>
              <w:bottom w:type="dxa" w:w="40"/>
              <w:right w:type="dxa" w:w="60"/>
            </w:tcMar>
          </w:tcPr>
          <w:p>
            <w:pPr>
              <w:spacing w:after="0"/>
            </w:pPr>
            <w:r>
              <w:t xml:space="preserve">🟡 </w:t>
            </w:r>
            <w:r>
              <w:rPr>
                <w:b/>
                <w:bCs/>
              </w:rPr>
              <w:t xml:space="preserve">Jaune</w:t>
            </w:r>
            <w:r>
              <w:t xml:space="preserve"> (interne / données personnelles)</w:t>
            </w:r>
          </w:p>
        </w:tc>
        <w:tc>
          <w:tcPr>
            <w:tcW w:type="pct" w:w="2700"/>
            <w:tcMar>
              <w:top w:type="dxa" w:w="40"/>
              <w:left w:type="dxa" w:w="60"/>
              <w:bottom w:type="dxa" w:w="40"/>
              <w:right w:type="dxa" w:w="60"/>
            </w:tcMar>
          </w:tcPr>
          <w:p>
            <w:pPr>
              <w:spacing w:after="0"/>
            </w:pPr>
            <w:r>
              <w:t xml:space="preserve">Documents internes, offres, noms et coordonnées de clientèle ou de collaborateurs/trices, correspondance avec la clientèle</w:t>
            </w:r>
          </w:p>
        </w:tc>
        <w:tc>
          <w:tcPr>
            <w:tcW w:type="pct" w:w="1250"/>
            <w:tcMar>
              <w:top w:type="dxa" w:w="40"/>
              <w:left w:type="dxa" w:w="60"/>
              <w:bottom w:type="dxa" w:w="40"/>
              <w:right w:type="dxa" w:w="60"/>
            </w:tcMar>
          </w:tcPr>
          <w:p>
            <w:pPr>
              <w:spacing w:after="0"/>
            </w:pPr>
            <w:r>
              <w:t xml:space="preserve">Uniquement dans les outils autorisés pour « Jaune » à la section 3. Seulement autant de données que nécessaire ; anonymiser ou omettre les noms lorsque c'est possible.</w:t>
            </w:r>
          </w:p>
        </w:tc>
      </w:tr>
      <w:tr>
        <w:tc>
          <w:tcPr>
            <w:tcW w:type="pct" w:w="1050"/>
            <w:tcMar>
              <w:top w:type="dxa" w:w="40"/>
              <w:left w:type="dxa" w:w="60"/>
              <w:bottom w:type="dxa" w:w="40"/>
              <w:right w:type="dxa" w:w="60"/>
            </w:tcMar>
          </w:tcPr>
          <w:p>
            <w:pPr>
              <w:spacing w:after="0"/>
            </w:pPr>
            <w:r>
              <w:t xml:space="preserve">🔴 </w:t>
            </w:r>
            <w:r>
              <w:rPr>
                <w:b/>
                <w:bCs/>
              </w:rPr>
              <w:t xml:space="preserve">Rouge</w:t>
            </w:r>
            <w:r>
              <w:t xml:space="preserve"> (strictement confidentiel / particulièrement sensible)</w:t>
            </w:r>
          </w:p>
        </w:tc>
        <w:tc>
          <w:tcPr>
            <w:tcW w:type="pct" w:w="2700"/>
            <w:tcMar>
              <w:top w:type="dxa" w:w="40"/>
              <w:left w:type="dxa" w:w="60"/>
              <w:bottom w:type="dxa" w:w="40"/>
              <w:right w:type="dxa" w:w="60"/>
            </w:tcMar>
          </w:tcPr>
          <w:p>
            <w:pPr>
              <w:spacing w:after="0"/>
            </w:pPr>
            <w:r>
              <w:t xml:space="preserve">Données personnelles particulièrement sensibles (art. 5 let. c LPD), p. ex. relatives à la santé, à la religion, aux opinions politiques, à l'appartenance syndicale ou à l'origine ethnique, données génétiques et biométriques, informations sur des poursuites pénales ou l'aide sociale ; données soumises au secret professionnel ; secrets d'affaires de la clientèle ; mots de passe, données d'accès, données bancaires et de cartes</w:t>
            </w:r>
          </w:p>
        </w:tc>
        <w:tc>
          <w:tcPr>
            <w:tcW w:type="pct" w:w="1250"/>
            <w:tcMar>
              <w:top w:type="dxa" w:w="40"/>
              <w:left w:type="dxa" w:w="60"/>
              <w:bottom w:type="dxa" w:w="40"/>
              <w:right w:type="dxa" w:w="60"/>
            </w:tcMar>
          </w:tcPr>
          <w:p>
            <w:pPr>
              <w:spacing w:after="0"/>
            </w:pPr>
            <w:r>
              <w:rPr>
                <w:b/>
                <w:bCs/>
              </w:rPr>
              <w:t xml:space="preserve">Ne jamais</w:t>
            </w:r>
            <w:r>
              <w:t xml:space="preserve"> saisir dans des outils d'IA, sauf si la personne responsable de l'IA a autorisé par écrit un outil déterminé pour un usage déterminé.</w:t>
            </w:r>
          </w:p>
        </w:tc>
      </w:tr>
    </w:tbl>
    <w:p/>
    <w:p>
      <w:r>
        <w:t xml:space="preserve">Si vous n'êtes pas certain·e du niveau applicable, traitez les données comme relevant du niveau supérieur suivant.</w:t>
      </w:r>
    </w:p>
    <w:p>
      <w:pPr>
        <w:pStyle w:val="Heading1"/>
        <w:keepNext/>
      </w:pPr>
      <w:r>
        <w:t xml:space="preserve">5. Traitement des résultats de l'IA</w:t>
      </w:r>
    </w:p>
    <w:p>
      <w:pPr>
        <w:pStyle w:val="ListParagraph"/>
        <w:numPr>
          <w:ilvl w:val="0"/>
          <w:numId w:val="6"/>
        </w:numPr>
        <w:spacing w:after="60"/>
        <w:ind w:left="360" w:hanging="360"/>
      </w:pPr>
      <w:r>
        <w:rPr>
          <w:b/>
          <w:bCs/>
        </w:rPr>
        <w:t xml:space="preserve">Vérifier le contenu.</w:t>
      </w:r>
      <w:r>
        <w:t xml:space="preserve"> Les faits, chiffres, citations, sources et calculs sont vérifiés avant utilisation. Les résultats de l'IA ne valent jamais comme seule source pour des affirmations juridiques, fiscales, médicales ou financières.</w:t>
      </w:r>
    </w:p>
    <w:p>
      <w:pPr>
        <w:pStyle w:val="ListParagraph"/>
        <w:numPr>
          <w:ilvl w:val="0"/>
          <w:numId w:val="6"/>
        </w:numPr>
        <w:spacing w:after="60"/>
        <w:ind w:left="360" w:hanging="360"/>
      </w:pPr>
      <w:r>
        <w:rPr>
          <w:b/>
          <w:bCs/>
        </w:rPr>
        <w:t xml:space="preserve">Respecter les droits de tiers.</w:t>
      </w:r>
      <w:r>
        <w:t xml:space="preserve"> Les textes, images et codes générés par l'IA peuvent violer des droits de tiers. Avant toute publication ou transmission à la clientèle, cela est vérifié avec bon sens ; en cas de doute, la personne responsable de l'IA est consultée.</w:t>
      </w:r>
    </w:p>
    <w:p>
      <w:pPr>
        <w:pStyle w:val="ListParagraph"/>
        <w:numPr>
          <w:ilvl w:val="0"/>
          <w:numId w:val="6"/>
        </w:numPr>
        <w:spacing w:after="60"/>
        <w:ind w:left="360" w:hanging="360"/>
      </w:pPr>
      <w:r>
        <w:rPr>
          <w:b/>
          <w:bCs/>
        </w:rPr>
        <w:t xml:space="preserve">Pas de décisions concernant des personnes sans intervention humaine.</w:t>
      </w:r>
      <w:r>
        <w:t xml:space="preserve"> L'IA peut préparer des décisions concernant des personnes (p. ex. candidatures, solvabilité, prix, résiliations), mais ne peut pas les prendre seule. Une personne examine le contenu de chaque décision de ce type et consigne la manière dont elle a décidé. Il n'en résulte ainsi aucune décision individuelle automatisée exclusivement, pour laquelle s'appliquent des obligations particulières d'information et de vérification (art. 21 LPD).</w:t>
      </w:r>
    </w:p>
    <w:p>
      <w:pPr>
        <w:pStyle w:val="ListParagraph"/>
        <w:numPr>
          <w:ilvl w:val="0"/>
          <w:numId w:val="6"/>
        </w:numPr>
        <w:spacing w:after="60"/>
        <w:ind w:left="360" w:hanging="360"/>
      </w:pPr>
      <w:r>
        <w:rPr>
          <w:b/>
          <w:bCs/>
        </w:rPr>
        <w:t xml:space="preserve">Signaler lorsque nécessaire.</w:t>
      </w:r>
      <w:r>
        <w:t xml:space="preserve"> Les contenus majoritairement créés par l'IA et destinés au public sont </w:t>
      </w:r>
      <w:r>
        <w:rPr>
          <w:highlight w:val="yellow"/>
        </w:rPr>
        <w:t xml:space="preserve">[signalés comme générés par IA / signalés en accord avec la personne responsable de l'IA]</w:t>
      </w:r>
      <w:r>
        <w:t xml:space="preserve">.</w:t>
      </w:r>
    </w:p>
    <w:p>
      <w:pPr>
        <w:pStyle w:val="ListParagraph"/>
        <w:numPr>
          <w:ilvl w:val="0"/>
          <w:numId w:val="6"/>
        </w:numPr>
        <w:spacing w:after="60"/>
        <w:ind w:left="360" w:hanging="360"/>
      </w:pPr>
      <w:r>
        <w:rPr>
          <w:b/>
          <w:bCs/>
        </w:rPr>
        <w:t xml:space="preserve">IA agissant de manière autonome.</w:t>
      </w:r>
      <w:r>
        <w:t xml:space="preserve"> Les outils d'IA capables d'exécuter eux-mêmes des actions (p. ex. envoyer des e-mails, réserver, payer, supprimer) ne reçoivent que les accès nécessaires à leur tâche. Les actions irréversibles sont confirmées au préalable par une personne. Les contenus provenant de l'extérieur (e-mails entrants, sites web, documents) peuvent contenir des instructions cachées destinées à l'IA et sont considérés comme non fiables.</w:t>
      </w:r>
    </w:p>
    <w:p>
      <w:pPr>
        <w:pStyle w:val="ListParagraph"/>
        <w:numPr>
          <w:ilvl w:val="0"/>
          <w:numId w:val="6"/>
        </w:numPr>
        <w:spacing w:after="60"/>
        <w:ind w:left="360" w:hanging="360"/>
      </w:pPr>
      <w:r>
        <w:rPr>
          <w:b/>
          <w:bCs/>
        </w:rPr>
        <w:t xml:space="preserve">Vérifier les demandes inhabituelles.</w:t>
      </w:r>
      <w:r>
        <w:t xml:space="preserve"> Les demandes de paiement et de données sont confirmées par un second canal (p. ex. rappel sur un numéro connu), quelle que soit la crédibilité apparente de l'e-mail, de la voix ou de la vidéo. Les voix et les visages peuvent être falsifiés de manière trompeuse grâce à l'IA.</w:t>
      </w:r>
    </w:p>
    <w:p>
      <w:pPr>
        <w:pStyle w:val="Heading1"/>
        <w:keepNext/>
      </w:pPr>
      <w:r>
        <w:t xml:space="preserve">6. Transparence envers les tiers</w:t>
      </w:r>
    </w:p>
    <w:p>
      <w:pPr>
        <w:pStyle w:val="ListParagraph"/>
        <w:numPr>
          <w:ilvl w:val="0"/>
          <w:numId w:val="7"/>
        </w:numPr>
        <w:spacing w:after="60"/>
        <w:ind w:left="360" w:hanging="360"/>
      </w:pPr>
      <w:r>
        <w:t xml:space="preserve">Les chatbots et autres systèmes d'IA avec lesquels la clientèle ou les candidat·e·s interagissent directement sont clairement identifiables comme de l'IA.</w:t>
      </w:r>
    </w:p>
    <w:p>
      <w:pPr>
        <w:pStyle w:val="ListParagraph"/>
        <w:numPr>
          <w:ilvl w:val="0"/>
          <w:numId w:val="7"/>
        </w:numPr>
        <w:spacing w:after="60"/>
        <w:ind w:left="360" w:hanging="360"/>
      </w:pPr>
      <w:r>
        <w:t xml:space="preserve">La personne responsable de l'IA veille à ce que la déclaration de protection des données informe sur le traitement des données personnelles au moyen d'outils d'IA : finalité, destinataires ou catégories de destinataires (p. ex. les fournisseurs) et, le cas échéant, les États vers lesquels les données sont transmises (art. 19 LPD).</w:t>
      </w:r>
    </w:p>
    <w:p>
      <w:pPr>
        <w:pStyle w:val="Heading1"/>
        <w:keepNext/>
      </w:pPr>
      <w:r>
        <w:t xml:space="preserve">7. Utilisations interdites</w:t>
      </w:r>
    </w:p>
    <w:p>
      <w:r>
        <w:t xml:space="preserve">Il est interdit :</w:t>
      </w:r>
    </w:p>
    <w:p>
      <w:pPr>
        <w:pStyle w:val="ListParagraph"/>
        <w:numPr>
          <w:ilvl w:val="0"/>
          <w:numId w:val="8"/>
        </w:numPr>
        <w:spacing w:after="60"/>
        <w:ind w:left="360" w:hanging="360"/>
      </w:pPr>
      <w:r>
        <w:t xml:space="preserve">d'utiliser l'IA pour tromper des personnes, p. ex. au moyen d'avis falsifiés ou d'images, de voix ou de vidéos trompeusement réalistes de personnes réellement existantes ;</w:t>
      </w:r>
    </w:p>
    <w:p>
      <w:pPr>
        <w:pStyle w:val="ListParagraph"/>
        <w:numPr>
          <w:ilvl w:val="0"/>
          <w:numId w:val="8"/>
        </w:numPr>
        <w:spacing w:after="60"/>
        <w:ind w:left="360" w:hanging="360"/>
      </w:pPr>
      <w:r>
        <w:t xml:space="preserve">d'utiliser l'IA pour surveiller le comportement des collaborateurs/trices (art. 26 OLT 3) ou pour traiter des données sur les collaborateurs/trices qui ne concernent pas leur aptitude au poste ou l'exécution du contrat de travail (art. 328b CO) ;</w:t>
      </w:r>
    </w:p>
    <w:p>
      <w:pPr>
        <w:pStyle w:val="ListParagraph"/>
        <w:numPr>
          <w:ilvl w:val="0"/>
          <w:numId w:val="8"/>
        </w:numPr>
        <w:spacing w:after="60"/>
        <w:ind w:left="360" w:hanging="360"/>
      </w:pPr>
      <w:r>
        <w:t xml:space="preserve">d'utiliser des résultats de l'IA non vérifiés comme base de décisions concernant des personnes (voir section 5) ;</w:t>
      </w:r>
    </w:p>
    <w:p>
      <w:pPr>
        <w:pStyle w:val="ListParagraph"/>
        <w:numPr>
          <w:ilvl w:val="0"/>
          <w:numId w:val="8"/>
        </w:numPr>
        <w:spacing w:after="60"/>
        <w:ind w:left="360" w:hanging="360"/>
      </w:pPr>
      <w:r>
        <w:t xml:space="preserve">de contourner les mesures de sécurité des outils d'IA ou de notre informatique ;</w:t>
      </w:r>
    </w:p>
    <w:p>
      <w:pPr>
        <w:pStyle w:val="ListParagraph"/>
        <w:numPr>
          <w:ilvl w:val="0"/>
          <w:numId w:val="8"/>
        </w:numPr>
        <w:spacing w:after="60"/>
        <w:ind w:left="360" w:hanging="360"/>
      </w:pPr>
      <w:r>
        <w:rPr>
          <w:highlight w:val="yellow"/>
        </w:rPr>
        <w:t xml:space="preserve">[autres interdictions spécifiques à l'entreprise]</w:t>
      </w:r>
      <w:r>
        <w:t xml:space="preserve">.</w:t>
      </w:r>
    </w:p>
    <w:p>
      <w:pPr>
        <w:pStyle w:val="Heading1"/>
        <w:keepNext/>
      </w:pPr>
      <w:r>
        <w:t xml:space="preserve">8. Responsabilités</w:t>
      </w:r>
    </w:p>
    <w:p>
      <w:r>
        <w:rPr>
          <w:b/>
          <w:bCs/>
        </w:rPr>
        <w:t xml:space="preserve">La personne responsable de l'IA</w:t>
      </w:r>
    </w:p>
    <w:p>
      <w:pPr>
        <w:pStyle w:val="ListParagraph"/>
        <w:numPr>
          <w:ilvl w:val="0"/>
          <w:numId w:val="9"/>
        </w:numPr>
        <w:spacing w:after="60"/>
        <w:ind w:left="360" w:hanging="360"/>
      </w:pPr>
      <w:r>
        <w:t xml:space="preserve">tient à jour la liste des outils autorisés (annexe) ;</w:t>
      </w:r>
    </w:p>
    <w:p>
      <w:pPr>
        <w:pStyle w:val="ListParagraph"/>
        <w:numPr>
          <w:ilvl w:val="0"/>
          <w:numId w:val="9"/>
        </w:numPr>
        <w:spacing w:after="60"/>
        <w:ind w:left="360" w:hanging="360"/>
      </w:pPr>
      <w:r>
        <w:t xml:space="preserve">décide des demandes relatives à de nouveaux outils ;</w:t>
      </w:r>
    </w:p>
    <w:p>
      <w:pPr>
        <w:pStyle w:val="ListParagraph"/>
        <w:numPr>
          <w:ilvl w:val="0"/>
          <w:numId w:val="9"/>
        </w:numPr>
        <w:spacing w:after="60"/>
        <w:ind w:left="360" w:hanging="360"/>
      </w:pPr>
      <w:r>
        <w:t xml:space="preserve">répond aux questions concernant la directive ;</w:t>
      </w:r>
    </w:p>
    <w:p>
      <w:pPr>
        <w:pStyle w:val="ListParagraph"/>
        <w:numPr>
          <w:ilvl w:val="0"/>
          <w:numId w:val="9"/>
        </w:numPr>
        <w:spacing w:after="60"/>
        <w:ind w:left="360" w:hanging="360"/>
      </w:pPr>
      <w:r>
        <w:t xml:space="preserve">assure la formation (section 9) et le traitement des incidents (section 10) ;</w:t>
      </w:r>
    </w:p>
    <w:p>
      <w:pPr>
        <w:pStyle w:val="ListParagraph"/>
        <w:numPr>
          <w:ilvl w:val="0"/>
          <w:numId w:val="9"/>
        </w:numPr>
        <w:spacing w:after="60"/>
        <w:ind w:left="360" w:hanging="360"/>
      </w:pPr>
      <w:r>
        <w:t xml:space="preserve">révise la directive au moins une fois par an.</w:t>
      </w:r>
    </w:p>
    <w:p>
      <w:r>
        <w:rPr>
          <w:b/>
          <w:bCs/>
        </w:rPr>
        <w:t xml:space="preserve">Les supérieur·e·s hiérarchiques</w:t>
      </w:r>
      <w:r>
        <w:t xml:space="preserve"> veillent à ce que leur équipe connaisse et respecte la directive.</w:t>
      </w:r>
    </w:p>
    <w:p>
      <w:r>
        <w:rPr>
          <w:b/>
          <w:bCs/>
        </w:rPr>
        <w:t xml:space="preserve">Tous les collaborateurs et collaboratrices</w:t>
      </w:r>
      <w:r>
        <w:t xml:space="preserve"> respectent cette directive et signalent les incertitudes et les incidents.</w:t>
      </w:r>
    </w:p>
    <w:p>
      <w:pPr>
        <w:pStyle w:val="Heading1"/>
        <w:keepNext/>
      </w:pPr>
      <w:r>
        <w:t xml:space="preserve">9. Formation</w:t>
      </w:r>
    </w:p>
    <w:p>
      <w:r>
        <w:t xml:space="preserve">Toute personne utilisant des outils d'IA est formée avant la première utilisation, puis </w:t>
      </w:r>
      <w:r>
        <w:rPr>
          <w:highlight w:val="yellow"/>
        </w:rPr>
        <w:t xml:space="preserve">[annuellement]</w:t>
      </w:r>
      <w:r>
        <w:t xml:space="preserve"> : ce que l'IA fait bien ou mal, quelles données ne doivent pas y être saisies et comment vérifier les résultats. La personne responsable de l'IA consigne qui a été formé et quand.</w:t>
      </w:r>
    </w:p>
    <w:p>
      <w:pPr>
        <w:pStyle w:val="Heading1"/>
        <w:keepNext/>
      </w:pPr>
      <w:r>
        <w:t xml:space="preserve">10. Incidents</w:t>
      </w:r>
    </w:p>
    <w:p>
      <w:r>
        <w:t xml:space="preserve">Signalez </w:t>
      </w:r>
      <w:r>
        <w:rPr>
          <w:b/>
          <w:bCs/>
        </w:rPr>
        <w:t xml:space="preserve">immédiatement</w:t>
      </w:r>
      <w:r>
        <w:t xml:space="preserve"> à </w:t>
      </w:r>
      <w:r>
        <w:rPr>
          <w:highlight w:val="yellow"/>
        </w:rPr>
        <w:t xml:space="preserve">[Nom / e-mail / téléphone]</w:t>
      </w:r>
      <w:r>
        <w:t xml:space="preserve"> si :</w:t>
      </w:r>
    </w:p>
    <w:p>
      <w:pPr>
        <w:pStyle w:val="ListParagraph"/>
        <w:numPr>
          <w:ilvl w:val="0"/>
          <w:numId w:val="10"/>
        </w:numPr>
        <w:spacing w:after="60"/>
        <w:ind w:left="360" w:hanging="360"/>
      </w:pPr>
      <w:r>
        <w:t xml:space="preserve">des données de niveau jaune ou rouge ont été saisies dans un outil non autorisé à cet effet ;</w:t>
      </w:r>
    </w:p>
    <w:p>
      <w:pPr>
        <w:pStyle w:val="ListParagraph"/>
        <w:numPr>
          <w:ilvl w:val="0"/>
          <w:numId w:val="10"/>
        </w:numPr>
        <w:spacing w:after="60"/>
        <w:ind w:left="360" w:hanging="360"/>
      </w:pPr>
      <w:r>
        <w:t xml:space="preserve">un résultat erroné de l'IA a été transmis à la clientèle ou diffusé à l'extérieur ;</w:t>
      </w:r>
    </w:p>
    <w:p>
      <w:pPr>
        <w:pStyle w:val="ListParagraph"/>
        <w:numPr>
          <w:ilvl w:val="0"/>
          <w:numId w:val="10"/>
        </w:numPr>
        <w:spacing w:after="60"/>
        <w:ind w:left="360" w:hanging="360"/>
      </w:pPr>
      <w:r>
        <w:t xml:space="preserve">vous soupçonnez qu'un outil d'IA ou un compte est utilisé de manière abusive, ou qu'un outil d'IA a effectué une action que personne n'a initiée ;</w:t>
      </w:r>
    </w:p>
    <w:p>
      <w:pPr>
        <w:pStyle w:val="ListParagraph"/>
        <w:numPr>
          <w:ilvl w:val="0"/>
          <w:numId w:val="10"/>
        </w:numPr>
        <w:spacing w:after="60"/>
        <w:ind w:left="360" w:hanging="360"/>
      </w:pPr>
      <w:r>
        <w:t xml:space="preserve">vous avez reçu une demande suspecte susceptible d'être falsifiée (p. ex. appel ou vidéo de la direction avec instruction de paiement urgente).</w:t>
      </w:r>
    </w:p>
    <w:p>
      <w:r>
        <w:t xml:space="preserve">Les signalements rapides sont souhaités. Toute personne signalant un incident ne doit craindre aucun désavantage du fait de ce signalement. La personne responsable de l'IA limite les dommages, documente l'incident et vérifie si une annonce au Préposé fédéral à la protection des données et à la transparence (PFPDT) est nécessaire (art. 24 LPD) et si les personnes concernées doivent être informées.</w:t>
      </w:r>
    </w:p>
    <w:p>
      <w:pPr>
        <w:pStyle w:val="Heading1"/>
        <w:keepNext/>
      </w:pPr>
      <w:r>
        <w:t xml:space="preserve">11. Révision et infractions</w:t>
      </w:r>
    </w:p>
    <w:p>
      <w:r>
        <w:t xml:space="preserve">Cette directive est révisée au moins une fois par an, ainsi que lors de l'introduction de nouveaux outils ou de modifications des exigences légales.</w:t>
      </w:r>
    </w:p>
    <w:p>
      <w:r>
        <w:t xml:space="preserve">Les infractions peuvent entraîner des mesures relevant du droit du travail.</w:t>
      </w:r>
    </w:p>
    <w:p>
      <w:pPr>
        <w:pBdr>
          <w:bottom w:val="single" w:color="94A3B8" w:sz="6" w:space="1"/>
        </w:pBdr>
      </w:pPr>
    </w:p>
    <w:p>
      <w:pPr>
        <w:pStyle w:val="Heading1"/>
        <w:keepNext/>
      </w:pPr>
      <w:r>
        <w:t xml:space="preserve">Prise de connaissance</w:t>
      </w:r>
    </w:p>
    <w:p>
      <w:r>
        <w:t xml:space="preserve">J'ai lu et compris la directive IA de </w:t>
      </w:r>
      <w:r>
        <w:rPr>
          <w:highlight w:val="yellow"/>
        </w:rPr>
        <w:t xml:space="preserve">[Nom de l'entreprise]</w:t>
      </w:r>
      <w:r>
        <w:t xml:space="preserve"> (version </w:t>
      </w:r>
      <w:r>
        <w:rPr>
          <w:highlight w:val="yellow"/>
        </w:rPr>
        <w:t xml:space="preserve">[1.0]</w:t>
      </w:r>
      <w:r>
        <w:t xml:space="preserve">) et m'y conforme.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58"/>
        <w:gridCol w:w="2658"/>
        <w:gridCol w:w="3073"/>
      </w:tblGrid>
      <w:tr>
        <w:trPr>
          <w:tblHeader/>
        </w:trPr>
        <w:tc>
          <w:tcPr>
            <w:tcW w:type="pct" w:w="1600"/>
            <w:shd w:fill="EEF2F7" w:color="auto" w:val="clear"/>
            <w:tcMar>
              <w:top w:type="dxa" w:w="40"/>
              <w:left w:type="dxa" w:w="60"/>
              <w:bottom w:type="dxa" w:w="40"/>
              <w:right w:type="dxa" w:w="60"/>
            </w:tcMar>
          </w:tcPr>
          <w:p>
            <w:pPr>
              <w:spacing w:after="0"/>
            </w:pPr>
            <w:r>
              <w:rPr>
                <w:b/>
                <w:bCs/>
              </w:rPr>
              <w:t xml:space="preserve">Nom</w:t>
            </w:r>
          </w:p>
        </w:tc>
        <w:tc>
          <w:tcPr>
            <w:tcW w:type="pct" w:w="1600"/>
            <w:shd w:fill="EEF2F7" w:color="auto" w:val="clear"/>
            <w:tcMar>
              <w:top w:type="dxa" w:w="40"/>
              <w:left w:type="dxa" w:w="60"/>
              <w:bottom w:type="dxa" w:w="40"/>
              <w:right w:type="dxa" w:w="60"/>
            </w:tcMar>
          </w:tcPr>
          <w:p>
            <w:pPr>
              <w:spacing w:after="0"/>
            </w:pPr>
            <w:r>
              <w:rPr>
                <w:b/>
                <w:bCs/>
              </w:rPr>
              <w:t xml:space="preserve">Date</w:t>
            </w:r>
          </w:p>
        </w:tc>
        <w:tc>
          <w:tcPr>
            <w:tcW w:type="pct" w:w="1850"/>
            <w:shd w:fill="EEF2F7" w:color="auto" w:val="clear"/>
            <w:tcMar>
              <w:top w:type="dxa" w:w="40"/>
              <w:left w:type="dxa" w:w="60"/>
              <w:bottom w:type="dxa" w:w="40"/>
              <w:right w:type="dxa" w:w="60"/>
            </w:tcMar>
          </w:tcPr>
          <w:p>
            <w:pPr>
              <w:spacing w:after="0"/>
            </w:pPr>
            <w:r>
              <w:rPr>
                <w:b/>
                <w:bCs/>
              </w:rPr>
              <w:t xml:space="preserve">Signature</w:t>
            </w:r>
          </w:p>
        </w:tc>
      </w:tr>
      <w:tr>
        <w:tc>
          <w:tcPr>
            <w:tcW w:type="pct" w:w="1600"/>
            <w:tcMar>
              <w:top w:type="dxa" w:w="40"/>
              <w:left w:type="dxa" w:w="60"/>
              <w:bottom w:type="dxa" w:w="40"/>
              <w:right w:type="dxa" w:w="60"/>
            </w:tcMar>
          </w:tcPr>
          <w:p>
            <w:pPr>
              <w:spacing w:after="0"/>
            </w:pPr>
          </w:p>
        </w:tc>
        <w:tc>
          <w:tcPr>
            <w:tcW w:type="pct" w:w="1600"/>
            <w:tcMar>
              <w:top w:type="dxa" w:w="40"/>
              <w:left w:type="dxa" w:w="60"/>
              <w:bottom w:type="dxa" w:w="40"/>
              <w:right w:type="dxa" w:w="60"/>
            </w:tcMar>
          </w:tcPr>
          <w:p>
            <w:pPr>
              <w:spacing w:after="0"/>
            </w:pPr>
          </w:p>
        </w:tc>
        <w:tc>
          <w:tcPr>
            <w:tcW w:type="pct" w:w="1850"/>
            <w:tcMar>
              <w:top w:type="dxa" w:w="40"/>
              <w:left w:type="dxa" w:w="60"/>
              <w:bottom w:type="dxa" w:w="40"/>
              <w:right w:type="dxa" w:w="60"/>
            </w:tcMar>
          </w:tcPr>
          <w:p>
            <w:pPr>
              <w:spacing w:after="0"/>
            </w:pPr>
          </w:p>
        </w:tc>
      </w:tr>
    </w:tbl>
    <w:p/>
    <w:p>
      <w:pPr>
        <w:pBdr>
          <w:bottom w:val="single" w:color="94A3B8" w:sz="6" w:space="1"/>
        </w:pBdr>
      </w:pPr>
    </w:p>
    <w:p>
      <w:pPr>
        <w:pStyle w:val="Heading1"/>
        <w:keepNext/>
      </w:pPr>
      <w:r>
        <w:t xml:space="preserve">Annexe : registre des outils d'IA</w:t>
      </w:r>
    </w:p>
    <w:p>
      <w:r>
        <w:rPr>
          <w:i/>
          <w:iCs/>
        </w:rPr>
        <w:t xml:space="preserve">À tenir à jour par la personne responsable de l'IA. Contient tous les outils d'IA connus, y compris ceux refusés ou pas encore vérifiés.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1"/>
        <w:gridCol w:w="1080"/>
        <w:gridCol w:w="581"/>
        <w:gridCol w:w="748"/>
        <w:gridCol w:w="748"/>
        <w:gridCol w:w="498"/>
        <w:gridCol w:w="748"/>
        <w:gridCol w:w="1329"/>
        <w:gridCol w:w="1080"/>
        <w:gridCol w:w="831"/>
      </w:tblGrid>
      <w:tr>
        <w:trPr>
          <w:tblHeader/>
        </w:trPr>
        <w:tc>
          <w:tcPr>
            <w:tcW w:type="pct" w:w="350"/>
            <w:shd w:fill="EEF2F7" w:color="auto" w:val="clear"/>
            <w:tcMar>
              <w:top w:type="dxa" w:w="40"/>
              <w:left w:type="dxa" w:w="60"/>
              <w:bottom w:type="dxa" w:w="40"/>
              <w:right w:type="dxa" w:w="60"/>
            </w:tcMar>
          </w:tcPr>
          <w:p>
            <w:pPr>
              <w:spacing w:after="0"/>
            </w:pPr>
            <w:r>
              <w:rPr>
                <w:b/>
                <w:bCs/>
                <w:sz w:val="18"/>
                <w:szCs w:val="18"/>
              </w:rPr>
              <w:t xml:space="preserve">Outil</w:t>
            </w:r>
          </w:p>
        </w:tc>
        <w:tc>
          <w:tcPr>
            <w:tcW w:type="pct" w:w="650"/>
            <w:shd w:fill="EEF2F7" w:color="auto" w:val="clear"/>
            <w:tcMar>
              <w:top w:type="dxa" w:w="40"/>
              <w:left w:type="dxa" w:w="60"/>
              <w:bottom w:type="dxa" w:w="40"/>
              <w:right w:type="dxa" w:w="60"/>
            </w:tcMar>
          </w:tcPr>
          <w:p>
            <w:pPr>
              <w:spacing w:after="0"/>
            </w:pPr>
            <w:r>
              <w:rPr>
                <w:b/>
                <w:bCs/>
                <w:sz w:val="18"/>
                <w:szCs w:val="18"/>
              </w:rPr>
              <w:t xml:space="preserve">Fournisseur</w:t>
            </w:r>
          </w:p>
        </w:tc>
        <w:tc>
          <w:tcPr>
            <w:tcW w:type="pct" w:w="350"/>
            <w:shd w:fill="EEF2F7" w:color="auto" w:val="clear"/>
            <w:tcMar>
              <w:top w:type="dxa" w:w="40"/>
              <w:left w:type="dxa" w:w="60"/>
              <w:bottom w:type="dxa" w:w="40"/>
              <w:right w:type="dxa" w:w="60"/>
            </w:tcMar>
          </w:tcPr>
          <w:p>
            <w:pPr>
              <w:spacing w:after="0"/>
            </w:pPr>
            <w:r>
              <w:rPr>
                <w:b/>
                <w:bCs/>
                <w:sz w:val="18"/>
                <w:szCs w:val="18"/>
              </w:rPr>
              <w:t xml:space="preserve">Statut</w:t>
            </w:r>
          </w:p>
        </w:tc>
        <w:tc>
          <w:tcPr>
            <w:tcW w:type="pct" w:w="450"/>
            <w:shd w:fill="EEF2F7" w:color="auto" w:val="clear"/>
            <w:tcMar>
              <w:top w:type="dxa" w:w="40"/>
              <w:left w:type="dxa" w:w="60"/>
              <w:bottom w:type="dxa" w:w="40"/>
              <w:right w:type="dxa" w:w="60"/>
            </w:tcMar>
          </w:tcPr>
          <w:p>
            <w:pPr>
              <w:spacing w:after="0"/>
            </w:pPr>
            <w:r>
              <w:rPr>
                <w:b/>
                <w:bCs/>
                <w:sz w:val="18"/>
                <w:szCs w:val="18"/>
              </w:rPr>
              <w:t xml:space="preserve">Finalité</w:t>
            </w:r>
          </w:p>
        </w:tc>
        <w:tc>
          <w:tcPr>
            <w:tcW w:type="pct" w:w="450"/>
            <w:shd w:fill="EEF2F7" w:color="auto" w:val="clear"/>
            <w:tcMar>
              <w:top w:type="dxa" w:w="40"/>
              <w:left w:type="dxa" w:w="60"/>
              <w:bottom w:type="dxa" w:w="40"/>
              <w:right w:type="dxa" w:w="60"/>
            </w:tcMar>
          </w:tcPr>
          <w:p>
            <w:pPr>
              <w:spacing w:after="0"/>
            </w:pPr>
            <w:r>
              <w:rPr>
                <w:b/>
                <w:bCs/>
                <w:sz w:val="18"/>
                <w:szCs w:val="18"/>
              </w:rPr>
              <w:t xml:space="preserve">Niveau de données</w:t>
            </w:r>
          </w:p>
        </w:tc>
        <w:tc>
          <w:tcPr>
            <w:tcW w:type="pct" w:w="300"/>
            <w:shd w:fill="EEF2F7" w:color="auto" w:val="clear"/>
            <w:tcMar>
              <w:top w:type="dxa" w:w="40"/>
              <w:left w:type="dxa" w:w="60"/>
              <w:bottom w:type="dxa" w:w="40"/>
              <w:right w:type="dxa" w:w="60"/>
            </w:tcMar>
          </w:tcPr>
          <w:p>
            <w:pPr>
              <w:spacing w:after="0"/>
            </w:pPr>
            <w:r>
              <w:rPr>
                <w:b/>
                <w:bCs/>
                <w:sz w:val="18"/>
                <w:szCs w:val="18"/>
              </w:rPr>
              <w:t xml:space="preserve">Lieu</w:t>
            </w:r>
          </w:p>
        </w:tc>
        <w:tc>
          <w:tcPr>
            <w:tcW w:type="pct" w:w="450"/>
            <w:shd w:fill="EEF2F7" w:color="auto" w:val="clear"/>
            <w:tcMar>
              <w:top w:type="dxa" w:w="40"/>
              <w:left w:type="dxa" w:w="60"/>
              <w:bottom w:type="dxa" w:w="40"/>
              <w:right w:type="dxa" w:w="60"/>
            </w:tcMar>
          </w:tcPr>
          <w:p>
            <w:pPr>
              <w:spacing w:after="0"/>
            </w:pPr>
            <w:r>
              <w:rPr>
                <w:b/>
                <w:bCs/>
                <w:sz w:val="18"/>
                <w:szCs w:val="18"/>
              </w:rPr>
              <w:t xml:space="preserve">CSD</w:t>
            </w:r>
          </w:p>
        </w:tc>
        <w:tc>
          <w:tcPr>
            <w:tcW w:type="pct" w:w="800"/>
            <w:shd w:fill="EEF2F7" w:color="auto" w:val="clear"/>
            <w:tcMar>
              <w:top w:type="dxa" w:w="40"/>
              <w:left w:type="dxa" w:w="60"/>
              <w:bottom w:type="dxa" w:w="40"/>
              <w:right w:type="dxa" w:w="60"/>
            </w:tcMar>
          </w:tcPr>
          <w:p>
            <w:pPr>
              <w:spacing w:after="0"/>
            </w:pPr>
            <w:r>
              <w:rPr>
                <w:b/>
                <w:bCs/>
                <w:sz w:val="18"/>
                <w:szCs w:val="18"/>
              </w:rPr>
              <w:t xml:space="preserve">Pas d'entraînement</w:t>
            </w:r>
          </w:p>
        </w:tc>
        <w:tc>
          <w:tcPr>
            <w:tcW w:type="pct" w:w="650"/>
            <w:shd w:fill="EEF2F7" w:color="auto" w:val="clear"/>
            <w:tcMar>
              <w:top w:type="dxa" w:w="40"/>
              <w:left w:type="dxa" w:w="60"/>
              <w:bottom w:type="dxa" w:w="40"/>
              <w:right w:type="dxa" w:w="60"/>
            </w:tcMar>
          </w:tcPr>
          <w:p>
            <w:pPr>
              <w:spacing w:after="0"/>
            </w:pPr>
            <w:r>
              <w:rPr>
                <w:b/>
                <w:bCs/>
                <w:sz w:val="18"/>
                <w:szCs w:val="18"/>
              </w:rPr>
              <w:t xml:space="preserve">Responsable</w:t>
            </w:r>
          </w:p>
        </w:tc>
        <w:tc>
          <w:tcPr>
            <w:tcW w:type="pct" w:w="500"/>
            <w:shd w:fill="EEF2F7" w:color="auto" w:val="clear"/>
            <w:tcMar>
              <w:top w:type="dxa" w:w="40"/>
              <w:left w:type="dxa" w:w="60"/>
              <w:bottom w:type="dxa" w:w="40"/>
              <w:right w:type="dxa" w:w="60"/>
            </w:tcMar>
          </w:tcPr>
          <w:p>
            <w:pPr>
              <w:spacing w:after="0"/>
            </w:pPr>
            <w:r>
              <w:rPr>
                <w:b/>
                <w:bCs/>
                <w:sz w:val="18"/>
                <w:szCs w:val="18"/>
              </w:rPr>
              <w:t xml:space="preserve">Vérifié le</w:t>
            </w:r>
          </w:p>
        </w:tc>
      </w:tr>
      <w:tr>
        <w:tc>
          <w:tcPr>
            <w:tcW w:type="pct" w:w="3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3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oui / non</w:t>
            </w:r>
          </w:p>
        </w:tc>
        <w:tc>
          <w:tcPr>
            <w:tcW w:type="pct" w:w="800"/>
            <w:tcMar>
              <w:top w:type="dxa" w:w="40"/>
              <w:left w:type="dxa" w:w="60"/>
              <w:bottom w:type="dxa" w:w="40"/>
              <w:right w:type="dxa" w:w="60"/>
            </w:tcMar>
          </w:tcPr>
          <w:p>
            <w:pPr>
              <w:spacing w:after="0"/>
            </w:pPr>
            <w:r>
              <w:rPr>
                <w:sz w:val="18"/>
                <w:szCs w:val="18"/>
              </w:rPr>
              <w:t xml:space="preserve">oui / non</w:t>
            </w: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r>
      <w:tr>
        <w:tc>
          <w:tcPr>
            <w:tcW w:type="pct" w:w="3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3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oui / non</w:t>
            </w:r>
          </w:p>
        </w:tc>
        <w:tc>
          <w:tcPr>
            <w:tcW w:type="pct" w:w="800"/>
            <w:tcMar>
              <w:top w:type="dxa" w:w="40"/>
              <w:left w:type="dxa" w:w="60"/>
              <w:bottom w:type="dxa" w:w="40"/>
              <w:right w:type="dxa" w:w="60"/>
            </w:tcMar>
          </w:tcPr>
          <w:p>
            <w:pPr>
              <w:spacing w:after="0"/>
            </w:pPr>
            <w:r>
              <w:rPr>
                <w:sz w:val="18"/>
                <w:szCs w:val="18"/>
              </w:rPr>
              <w:t xml:space="preserve">oui / non</w:t>
            </w: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r>
      <w:tr>
        <w:tc>
          <w:tcPr>
            <w:tcW w:type="pct" w:w="3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3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oui / non</w:t>
            </w:r>
          </w:p>
        </w:tc>
        <w:tc>
          <w:tcPr>
            <w:tcW w:type="pct" w:w="800"/>
            <w:tcMar>
              <w:top w:type="dxa" w:w="40"/>
              <w:left w:type="dxa" w:w="60"/>
              <w:bottom w:type="dxa" w:w="40"/>
              <w:right w:type="dxa" w:w="60"/>
            </w:tcMar>
          </w:tcPr>
          <w:p>
            <w:pPr>
              <w:spacing w:after="0"/>
            </w:pPr>
            <w:r>
              <w:rPr>
                <w:sz w:val="18"/>
                <w:szCs w:val="18"/>
              </w:rPr>
              <w:t xml:space="preserve">oui / non</w:t>
            </w: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r>
      <w:tr>
        <w:tc>
          <w:tcPr>
            <w:tcW w:type="pct" w:w="3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3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oui / non</w:t>
            </w:r>
          </w:p>
        </w:tc>
        <w:tc>
          <w:tcPr>
            <w:tcW w:type="pct" w:w="800"/>
            <w:tcMar>
              <w:top w:type="dxa" w:w="40"/>
              <w:left w:type="dxa" w:w="60"/>
              <w:bottom w:type="dxa" w:w="40"/>
              <w:right w:type="dxa" w:w="60"/>
            </w:tcMar>
          </w:tcPr>
          <w:p>
            <w:pPr>
              <w:spacing w:after="0"/>
            </w:pPr>
            <w:r>
              <w:rPr>
                <w:sz w:val="18"/>
                <w:szCs w:val="18"/>
              </w:rPr>
              <w:t xml:space="preserve">oui / non</w:t>
            </w: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r>
      <w:tr>
        <w:tc>
          <w:tcPr>
            <w:tcW w:type="pct" w:w="3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3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oui / non</w:t>
            </w:r>
          </w:p>
        </w:tc>
        <w:tc>
          <w:tcPr>
            <w:tcW w:type="pct" w:w="800"/>
            <w:tcMar>
              <w:top w:type="dxa" w:w="40"/>
              <w:left w:type="dxa" w:w="60"/>
              <w:bottom w:type="dxa" w:w="40"/>
              <w:right w:type="dxa" w:w="60"/>
            </w:tcMar>
          </w:tcPr>
          <w:p>
            <w:pPr>
              <w:spacing w:after="0"/>
            </w:pPr>
            <w:r>
              <w:rPr>
                <w:sz w:val="18"/>
                <w:szCs w:val="18"/>
              </w:rPr>
              <w:t xml:space="preserve">oui / non</w:t>
            </w: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r>
    </w:tbl>
    <w:p/>
    <w:p>
      <w:r>
        <w:rPr>
          <w:i/>
          <w:iCs/>
        </w:rPr>
        <w:t xml:space="preserve">Statut :</w:t>
      </w:r>
      <w:r>
        <w:t xml:space="preserve"> autorisé, refusé ou en cours de vérification. </w:t>
      </w:r>
      <w:r>
        <w:rPr>
          <w:i/>
          <w:iCs/>
        </w:rPr>
        <w:t xml:space="preserve">Niveau de données :</w:t>
      </w:r>
      <w:r>
        <w:t xml:space="preserve"> vert, jaune ou rouge (section 4). </w:t>
      </w:r>
      <w:r>
        <w:rPr>
          <w:i/>
          <w:iCs/>
        </w:rPr>
        <w:t xml:space="preserve">Lieu :</w:t>
      </w:r>
      <w:r>
        <w:t xml:space="preserve"> où le fournisseur traite et stocke les données (p. ex. CH, UE, États-Unis). </w:t>
      </w:r>
      <w:r>
        <w:rPr>
          <w:i/>
          <w:iCs/>
        </w:rPr>
        <w:t xml:space="preserve">CSD :</w:t>
      </w:r>
      <w:r>
        <w:t xml:space="preserve"> contrat de sous-traitance des données conclu avec le fournisseur. </w:t>
      </w:r>
      <w:r>
        <w:rPr>
          <w:i/>
          <w:iCs/>
        </w:rPr>
        <w:t xml:space="preserve">Pas d'entraînement :</w:t>
      </w:r>
      <w:r>
        <w:t xml:space="preserve"> le fournisseur n'utilise pas vos données pour entraîner ses modèles.</w:t>
      </w:r>
    </w:p>
    <w:sectPr>
      <w:footerReference w:type="default" r:id="rId6"/>
      <w:pgSz w:w="11906" w:h="16838" w:orient="portrait"/>
      <w:pgMar w:top="1134" w:right="1800" w:bottom="1134" w:left="18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aicompliant.ch · Modèle : Directive IA pour les PME suisses ·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decimal"/>
      <w:lvlText w:val="%2."/>
      <w:lvlJc w:val="left"/>
      <w:pPr>
        <w:ind w:left="720" w:hanging="360"/>
      </w:pPr>
    </w:lvl>
    <w:lvl w:ilvl="2" w:tentative="1">
      <w:start w:val="1"/>
      <w:numFmt w:val="decimal"/>
      <w:lvlText w:val="%3."/>
      <w:lvlJc w:val="left"/>
      <w:pPr>
        <w:ind w:left="108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 w:numId="5">
    <w:abstractNumId w:val="3"/>
    <w:lvlOverride w:ilvl="0">
      <w:startOverride w:val="1"/>
    </w:lvlOverride>
  </w:num>
  <w:num w:numId="6">
    <w:abstractNumId w:val="2"/>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20"/>
      </w:pPr>
    </w:pPrDefault>
  </w:docDefaults>
  <w:style w:type="paragraph" w:styleId="Normal" w:default="1">
    <w:name w:val="Normal"/>
    <w:qFormat/>
  </w:style>
  <w:style w:type="paragraph" w:styleId="Title">
    <w:name w:val="Title"/>
    <w:basedOn w:val="Normal"/>
    <w:next w:val="Normal"/>
    <w:qFormat/>
    <w:pPr>
      <w:spacing w:after="240"/>
    </w:pPr>
    <w:rPr>
      <w:sz w:val="38"/>
      <w:szCs w:val="38"/>
    </w:rPr>
  </w:style>
  <w:style w:type="paragraph" w:styleId="Heading1">
    <w:name w:val="Heading 1"/>
    <w:basedOn w:val="Normal"/>
    <w:next w:val="Normal"/>
    <w:qFormat/>
    <w:pPr>
      <w:spacing w:after="120" w:before="480"/>
    </w:pPr>
    <w:rPr>
      <w:color w:val="2E74B5"/>
      <w:sz w:val="32"/>
      <w:szCs w:val="32"/>
    </w:rPr>
  </w:style>
  <w:style w:type="paragraph" w:styleId="Heading2">
    <w:name w:val="Heading 2"/>
    <w:basedOn w:val="Normal"/>
    <w:next w:val="Normal"/>
    <w:qFormat/>
    <w:pPr>
      <w:spacing w:after="80" w:before="240"/>
    </w:pPr>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 Directive IA pour les PME suisses</dc:title>
  <dc:creator>aicompliant.ch</dc:creator>
  <cp:lastModifiedBy>Un-named</cp:lastModifiedBy>
  <cp:revision>1</cp:revision>
  <dcterms:created xsi:type="dcterms:W3CDTF">2026-11-01T12:48:24.072Z</dcterms:created>
  <dcterms:modified xsi:type="dcterms:W3CDTF">2026-11-01T12:48:24.072Z</dcterms:modified>
</cp:coreProperties>
</file>

<file path=docProps/custom.xml><?xml version="1.0" encoding="utf-8"?>
<Properties xmlns="http://schemas.openxmlformats.org/officeDocument/2006/custom-properties" xmlns:vt="http://schemas.openxmlformats.org/officeDocument/2006/docPropsVTypes"/>
</file>