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t xml:space="preserve">Template: AI Policy for Swiss SMEs</w:t>
      </w:r>
    </w:p>
    <w:p>
      <w:pPr>
        <w:pBdr>
          <w:left w:val="single" w:color="94A3B8" w:sz="18" w:space="8"/>
        </w:pBdr>
        <w:shd w:fill="EEF2F7" w:color="auto" w:val="clear"/>
        <w:ind w:left="240" w:right="240"/>
      </w:pPr>
      <w:r>
        <w:rPr>
          <w:b/>
          <w:bCs/>
        </w:rPr>
        <w:t xml:space="preserve">Notes on use (delete before putting into effect)</w:t>
      </w:r>
    </w:p>
    <w:p>
      <w:pPr>
        <w:pStyle w:val="ListParagraph"/>
        <w:numPr>
          <w:ilvl w:val="0"/>
          <w:numId w:val="2"/>
        </w:numPr>
        <w:pBdr>
          <w:left w:val="single" w:color="94A3B8" w:sz="18" w:space="8"/>
        </w:pBdr>
        <w:shd w:fill="EEF2F7" w:color="auto" w:val="clear"/>
        <w:spacing w:after="60"/>
        <w:ind w:left="600" w:right="240" w:hanging="360"/>
      </w:pPr>
      <w:r>
        <w:t xml:space="preserve">This template is a starting point, not legal advice. Adapt it to your company and have it reviewed by a specialist if needed.</w:t>
      </w:r>
    </w:p>
    <w:p>
      <w:pPr>
        <w:pStyle w:val="ListParagraph"/>
        <w:numPr>
          <w:ilvl w:val="0"/>
          <w:numId w:val="2"/>
        </w:numPr>
        <w:pBdr>
          <w:left w:val="single" w:color="94A3B8" w:sz="18" w:space="8"/>
        </w:pBdr>
        <w:shd w:fill="EEF2F7" w:color="auto" w:val="clear"/>
        <w:spacing w:after="60"/>
        <w:ind w:left="600" w:right="240" w:hanging="360"/>
      </w:pPr>
      <w:r>
        <w:t xml:space="preserve">Replace all information in </w:t>
      </w:r>
      <w:r>
        <w:rPr>
          <w:b/>
          <w:bCs/>
          <w:highlight w:val="yellow"/>
        </w:rPr>
        <w:t xml:space="preserve">[square brackets]</w:t>
      </w:r>
      <w:r>
        <w:t xml:space="preserve">. Delete whatever does not apply to you.</w:t>
      </w:r>
    </w:p>
    <w:p>
      <w:pPr>
        <w:pStyle w:val="ListParagraph"/>
        <w:numPr>
          <w:ilvl w:val="0"/>
          <w:numId w:val="2"/>
        </w:numPr>
        <w:pBdr>
          <w:left w:val="single" w:color="94A3B8" w:sz="18" w:space="8"/>
        </w:pBdr>
        <w:shd w:fill="EEF2F7" w:color="auto" w:val="clear"/>
        <w:spacing w:after="60"/>
        <w:ind w:left="600" w:right="240" w:hanging="360"/>
      </w:pPr>
      <w:r>
        <w:rPr>
          <w:b/>
          <w:bCs/>
        </w:rPr>
        <w:t xml:space="preserve">Small businesses (1–9 employees):</w:t>
      </w:r>
      <w:r>
        <w:t xml:space="preserve"> Sections 8 and 9 may be shortened to one sentence each. The AI-responsible person is usually the owner.</w:t>
      </w:r>
    </w:p>
    <w:p>
      <w:pPr>
        <w:pStyle w:val="ListParagraph"/>
        <w:numPr>
          <w:ilvl w:val="0"/>
          <w:numId w:val="2"/>
        </w:numPr>
        <w:pBdr>
          <w:left w:val="single" w:color="94A3B8" w:sz="18" w:space="8"/>
        </w:pBdr>
        <w:shd w:fill="EEF2F7" w:color="auto" w:val="clear"/>
        <w:spacing w:after="60"/>
        <w:ind w:left="600" w:right="240" w:hanging="360"/>
      </w:pPr>
      <w:r>
        <w:rPr>
          <w:b/>
          <w:bCs/>
        </w:rPr>
        <w:t xml:space="preserve">Industries subject to professional secrecy</w:t>
      </w:r>
      <w:r>
        <w:t xml:space="preserve"> (e.g. fiduciary services, legal practice, healthcare) or </w:t>
      </w:r>
      <w:r>
        <w:rPr>
          <w:b/>
          <w:bCs/>
        </w:rPr>
        <w:t xml:space="preserve">FINMA supervision:</w:t>
      </w:r>
      <w:r>
        <w:t xml:space="preserve"> Check whether stricter rules than those in this template are required.</w:t>
      </w:r>
    </w:p>
    <w:p>
      <w:pPr>
        <w:pStyle w:val="ListParagraph"/>
        <w:numPr>
          <w:ilvl w:val="0"/>
          <w:numId w:val="2"/>
        </w:numPr>
        <w:pBdr>
          <w:left w:val="single" w:color="94A3B8" w:sz="18" w:space="8"/>
        </w:pBdr>
        <w:shd w:fill="EEF2F7" w:color="auto" w:val="clear"/>
        <w:spacing w:after="60"/>
        <w:ind w:left="600" w:right="240" w:hanging="360"/>
      </w:pPr>
      <w:r>
        <w:t xml:space="preserve">This template matches the AI check at aicompliant.ch: it covers tool approval, data, training, transparency, decisions about individuals, responsibility, and incidents.</w:t>
      </w:r>
    </w:p>
    <w:p>
      <w:pPr>
        <w:pBdr>
          <w:bottom w:val="single" w:color="94A3B8" w:sz="6" w:space="1"/>
        </w:pBdr>
      </w:pPr>
    </w:p>
    <w:p>
      <w:r>
        <w:rPr>
          <w:b/>
          <w:bCs/>
          <w:highlight w:val="yellow"/>
        </w:rPr>
        <w:t xml:space="preserve">[Company name]</w:t>
      </w:r>
      <w:r>
        <w:br/>
      </w:r>
      <w:r>
        <w:rPr>
          <w:b/>
          <w:bCs/>
        </w:rPr>
        <w:t xml:space="preserve">AI Policy</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7"/>
        <w:gridCol w:w="4319"/>
      </w:tblGrid>
      <w:tr>
        <w:tc>
          <w:tcPr>
            <w:tcW w:type="pct" w:w="2400"/>
            <w:tcMar>
              <w:top w:type="dxa" w:w="40"/>
              <w:left w:type="dxa" w:w="60"/>
              <w:bottom w:type="dxa" w:w="40"/>
              <w:right w:type="dxa" w:w="60"/>
            </w:tcMar>
          </w:tcPr>
          <w:p>
            <w:pPr>
              <w:spacing w:after="0"/>
            </w:pPr>
            <w:r>
              <w:t xml:space="preserve">Version</w:t>
            </w:r>
          </w:p>
        </w:tc>
        <w:tc>
          <w:tcPr>
            <w:tcW w:type="pct" w:w="2600"/>
            <w:tcMar>
              <w:top w:type="dxa" w:w="40"/>
              <w:left w:type="dxa" w:w="60"/>
              <w:bottom w:type="dxa" w:w="40"/>
              <w:right w:type="dxa" w:w="60"/>
            </w:tcMar>
          </w:tcPr>
          <w:p>
            <w:pPr>
              <w:spacing w:after="0"/>
            </w:pPr>
            <w:r>
              <w:rPr>
                <w:highlight w:val="yellow"/>
              </w:rPr>
              <w:t xml:space="preserve">[1.0]</w:t>
            </w:r>
          </w:p>
        </w:tc>
      </w:tr>
      <w:tr>
        <w:tc>
          <w:tcPr>
            <w:tcW w:type="pct" w:w="2400"/>
            <w:tcMar>
              <w:top w:type="dxa" w:w="40"/>
              <w:left w:type="dxa" w:w="60"/>
              <w:bottom w:type="dxa" w:w="40"/>
              <w:right w:type="dxa" w:w="60"/>
            </w:tcMar>
          </w:tcPr>
          <w:p>
            <w:pPr>
              <w:spacing w:after="0"/>
            </w:pPr>
            <w:r>
              <w:t xml:space="preserve">Effective from</w:t>
            </w:r>
          </w:p>
        </w:tc>
        <w:tc>
          <w:tcPr>
            <w:tcW w:type="pct" w:w="2600"/>
            <w:tcMar>
              <w:top w:type="dxa" w:w="40"/>
              <w:left w:type="dxa" w:w="60"/>
              <w:bottom w:type="dxa" w:w="40"/>
              <w:right w:type="dxa" w:w="60"/>
            </w:tcMar>
          </w:tcPr>
          <w:p>
            <w:pPr>
              <w:spacing w:after="0"/>
            </w:pPr>
            <w:r>
              <w:rPr>
                <w:highlight w:val="yellow"/>
              </w:rPr>
              <w:t xml:space="preserve">[DD.MM.YYYY]</w:t>
            </w:r>
          </w:p>
        </w:tc>
      </w:tr>
      <w:tr>
        <w:tc>
          <w:tcPr>
            <w:tcW w:type="pct" w:w="2400"/>
            <w:tcMar>
              <w:top w:type="dxa" w:w="40"/>
              <w:left w:type="dxa" w:w="60"/>
              <w:bottom w:type="dxa" w:w="40"/>
              <w:right w:type="dxa" w:w="60"/>
            </w:tcMar>
          </w:tcPr>
          <w:p>
            <w:pPr>
              <w:spacing w:after="0"/>
            </w:pPr>
            <w:r>
              <w:t xml:space="preserve">Responsible</w:t>
            </w:r>
          </w:p>
        </w:tc>
        <w:tc>
          <w:tcPr>
            <w:tcW w:type="pct" w:w="2600"/>
            <w:tcMar>
              <w:top w:type="dxa" w:w="40"/>
              <w:left w:type="dxa" w:w="60"/>
              <w:bottom w:type="dxa" w:w="40"/>
              <w:right w:type="dxa" w:w="60"/>
            </w:tcMar>
          </w:tcPr>
          <w:p>
            <w:pPr>
              <w:spacing w:after="0"/>
            </w:pPr>
            <w:r>
              <w:rPr>
                <w:highlight w:val="yellow"/>
              </w:rPr>
              <w:t xml:space="preserve">[Name, function]</w:t>
            </w:r>
            <w:r>
              <w:t xml:space="preserve"> (hereinafter "AI-responsible person")</w:t>
            </w:r>
          </w:p>
        </w:tc>
      </w:tr>
      <w:tr>
        <w:tc>
          <w:tcPr>
            <w:tcW w:type="pct" w:w="2400"/>
            <w:tcMar>
              <w:top w:type="dxa" w:w="40"/>
              <w:left w:type="dxa" w:w="60"/>
              <w:bottom w:type="dxa" w:w="40"/>
              <w:right w:type="dxa" w:w="60"/>
            </w:tcMar>
          </w:tcPr>
          <w:p>
            <w:pPr>
              <w:spacing w:after="0"/>
            </w:pPr>
            <w:r>
              <w:t xml:space="preserve">Approved by</w:t>
            </w:r>
          </w:p>
        </w:tc>
        <w:tc>
          <w:tcPr>
            <w:tcW w:type="pct" w:w="2600"/>
            <w:tcMar>
              <w:top w:type="dxa" w:w="40"/>
              <w:left w:type="dxa" w:w="60"/>
              <w:bottom w:type="dxa" w:w="40"/>
              <w:right w:type="dxa" w:w="60"/>
            </w:tcMar>
          </w:tcPr>
          <w:p>
            <w:pPr>
              <w:spacing w:after="0"/>
            </w:pPr>
            <w:r>
              <w:rPr>
                <w:highlight w:val="yellow"/>
              </w:rPr>
              <w:t xml:space="preserve">[Management / Name]</w:t>
            </w:r>
          </w:p>
        </w:tc>
      </w:tr>
      <w:tr>
        <w:tc>
          <w:tcPr>
            <w:tcW w:type="pct" w:w="2400"/>
            <w:tcMar>
              <w:top w:type="dxa" w:w="40"/>
              <w:left w:type="dxa" w:w="60"/>
              <w:bottom w:type="dxa" w:w="40"/>
              <w:right w:type="dxa" w:w="60"/>
            </w:tcMar>
          </w:tcPr>
          <w:p>
            <w:pPr>
              <w:spacing w:after="0"/>
            </w:pPr>
            <w:r>
              <w:t xml:space="preserve">Next review</w:t>
            </w:r>
          </w:p>
        </w:tc>
        <w:tc>
          <w:tcPr>
            <w:tcW w:type="pct" w:w="2600"/>
            <w:tcMar>
              <w:top w:type="dxa" w:w="40"/>
              <w:left w:type="dxa" w:w="60"/>
              <w:bottom w:type="dxa" w:w="40"/>
              <w:right w:type="dxa" w:w="60"/>
            </w:tcMar>
          </w:tcPr>
          <w:p>
            <w:pPr>
              <w:spacing w:after="0"/>
            </w:pPr>
            <w:r>
              <w:rPr>
                <w:highlight w:val="yellow"/>
              </w:rPr>
              <w:t xml:space="preserve">[DD.MM.YYYY, no later than 12 months after entry into force]</w:t>
            </w:r>
          </w:p>
        </w:tc>
      </w:tr>
    </w:tbl>
    <w:p/>
    <w:p>
      <w:pPr>
        <w:pStyle w:val="Heading1"/>
        <w:keepNext/>
      </w:pPr>
      <w:r>
        <w:t xml:space="preserve">1. Purpose and Scope</w:t>
      </w:r>
    </w:p>
    <w:p>
      <w:r>
        <w:t xml:space="preserve">This policy governs how </w:t>
      </w:r>
      <w:r>
        <w:rPr>
          <w:highlight w:val="yellow"/>
        </w:rPr>
        <w:t xml:space="preserve">[Company name]</w:t>
      </w:r>
      <w:r>
        <w:t xml:space="preserve"> uses artificial intelligence (AI) tools. It is intended to enable the benefits of AI while protecting personal data (Personendaten), trade secrets, and our reputation.</w:t>
      </w:r>
    </w:p>
    <w:p>
      <w:r>
        <w:t xml:space="preserve">It applies to:</w:t>
      </w:r>
    </w:p>
    <w:p>
      <w:pPr>
        <w:pStyle w:val="ListParagraph"/>
        <w:numPr>
          <w:ilvl w:val="0"/>
          <w:numId w:val="3"/>
        </w:numPr>
        <w:spacing w:after="60"/>
        <w:ind w:left="360" w:hanging="360"/>
      </w:pPr>
      <w:r>
        <w:t xml:space="preserve">all employees, apprentices, trainees, and </w:t>
      </w:r>
      <w:r>
        <w:rPr>
          <w:highlight w:val="yellow"/>
        </w:rPr>
        <w:t xml:space="preserve">[freelancers / contractors]</w:t>
      </w:r>
      <w:r>
        <w:t xml:space="preserve">, insofar as they work for us;</w:t>
      </w:r>
    </w:p>
    <w:p>
      <w:pPr>
        <w:pStyle w:val="ListParagraph"/>
        <w:numPr>
          <w:ilvl w:val="0"/>
          <w:numId w:val="3"/>
        </w:numPr>
        <w:spacing w:after="60"/>
        <w:ind w:left="360" w:hanging="360"/>
      </w:pPr>
      <w:r>
        <w:t xml:space="preserve">all AI tools that generate text, images, audio, code, or analyses, including AI features built into existing software (e.g. in office programs, CRM, or accounting software);</w:t>
      </w:r>
    </w:p>
    <w:p>
      <w:pPr>
        <w:pStyle w:val="ListParagraph"/>
        <w:numPr>
          <w:ilvl w:val="0"/>
          <w:numId w:val="3"/>
        </w:numPr>
        <w:spacing w:after="60"/>
        <w:ind w:left="360" w:hanging="360"/>
      </w:pPr>
      <w:r>
        <w:t xml:space="preserve">use on company devices and on private devices, insofar as it relates to work for </w:t>
      </w:r>
      <w:r>
        <w:rPr>
          <w:highlight w:val="yellow"/>
        </w:rPr>
        <w:t xml:space="preserve">[Company name]</w:t>
      </w:r>
      <w:r>
        <w:t xml:space="preserve">.</w:t>
      </w:r>
    </w:p>
    <w:p>
      <w:pPr>
        <w:pStyle w:val="Heading1"/>
        <w:keepNext/>
      </w:pPr>
      <w:r>
        <w:t xml:space="preserve">2. Principles</w:t>
      </w:r>
    </w:p>
    <w:p>
      <w:pPr>
        <w:pStyle w:val="ListParagraph"/>
        <w:numPr>
          <w:ilvl w:val="0"/>
          <w:numId w:val="4"/>
        </w:numPr>
        <w:spacing w:after="60"/>
        <w:ind w:left="360" w:hanging="360"/>
      </w:pPr>
      <w:r>
        <w:rPr>
          <w:b/>
          <w:bCs/>
        </w:rPr>
        <w:t xml:space="preserve">Humans remain responsible.</w:t>
      </w:r>
      <w:r>
        <w:t xml:space="preserve"> AI is a tool. The person who uses any output is responsible for it.</w:t>
      </w:r>
    </w:p>
    <w:p>
      <w:pPr>
        <w:pStyle w:val="ListParagraph"/>
        <w:numPr>
          <w:ilvl w:val="0"/>
          <w:numId w:val="4"/>
        </w:numPr>
        <w:spacing w:after="60"/>
        <w:ind w:left="360" w:hanging="360"/>
      </w:pPr>
      <w:r>
        <w:rPr>
          <w:b/>
          <w:bCs/>
        </w:rPr>
        <w:t xml:space="preserve">Only approved tools.</w:t>
      </w:r>
      <w:r>
        <w:t xml:space="preserve"> We use only the AI tools approved in Section 3 for work.</w:t>
      </w:r>
    </w:p>
    <w:p>
      <w:pPr>
        <w:pStyle w:val="ListParagraph"/>
        <w:numPr>
          <w:ilvl w:val="0"/>
          <w:numId w:val="4"/>
        </w:numPr>
        <w:spacing w:after="60"/>
        <w:ind w:left="360" w:hanging="360"/>
      </w:pPr>
      <w:r>
        <w:rPr>
          <w:b/>
          <w:bCs/>
        </w:rPr>
        <w:t xml:space="preserve">Protect data.</w:t>
      </w:r>
      <w:r>
        <w:t xml:space="preserve"> What is entered into an AI tool can leave the company. The rules in Section 4 always apply.</w:t>
      </w:r>
    </w:p>
    <w:p>
      <w:pPr>
        <w:pStyle w:val="ListParagraph"/>
        <w:numPr>
          <w:ilvl w:val="0"/>
          <w:numId w:val="4"/>
        </w:numPr>
        <w:spacing w:after="60"/>
        <w:ind w:left="360" w:hanging="360"/>
      </w:pPr>
      <w:r>
        <w:rPr>
          <w:b/>
          <w:bCs/>
        </w:rPr>
        <w:t xml:space="preserve">Check outputs.</w:t>
      </w:r>
      <w:r>
        <w:t xml:space="preserve"> AI can produce convincing-sounding errors. Outputs are reviewed before use (Section 5).</w:t>
      </w:r>
    </w:p>
    <w:p>
      <w:pPr>
        <w:pStyle w:val="ListParagraph"/>
        <w:numPr>
          <w:ilvl w:val="0"/>
          <w:numId w:val="4"/>
        </w:numPr>
        <w:spacing w:after="60"/>
        <w:ind w:left="360" w:hanging="360"/>
      </w:pPr>
      <w:r>
        <w:rPr>
          <w:b/>
          <w:bCs/>
        </w:rPr>
        <w:t xml:space="preserve">Ask when in doubt.</w:t>
      </w:r>
      <w:r>
        <w:t xml:space="preserve"> If uncertain, contact the AI-responsible person before acting.</w:t>
      </w:r>
    </w:p>
    <w:p>
      <w:pPr>
        <w:pStyle w:val="Heading1"/>
        <w:keepNext/>
      </w:pPr>
      <w:r>
        <w:t xml:space="preserve">3. Approved AI Tools</w:t>
      </w:r>
    </w:p>
    <w:p>
      <w:r>
        <w:t xml:space="preserve">The following tools are approved for work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10"/>
        <w:gridCol w:w="1993"/>
        <w:gridCol w:w="2326"/>
        <w:gridCol w:w="1993"/>
      </w:tblGrid>
      <w:tr>
        <w:trPr>
          <w:tblHeader/>
        </w:trPr>
        <w:tc>
          <w:tcPr>
            <w:tcW w:type="pct" w:w="1150"/>
            <w:shd w:fill="EEF2F7" w:color="auto" w:val="clear"/>
            <w:tcMar>
              <w:top w:type="dxa" w:w="40"/>
              <w:left w:type="dxa" w:w="60"/>
              <w:bottom w:type="dxa" w:w="40"/>
              <w:right w:type="dxa" w:w="60"/>
            </w:tcMar>
          </w:tcPr>
          <w:p>
            <w:pPr>
              <w:spacing w:after="0"/>
            </w:pPr>
            <w:r>
              <w:rPr>
                <w:b/>
                <w:bCs/>
              </w:rPr>
              <w:t xml:space="preserve">Tool</w:t>
            </w:r>
          </w:p>
        </w:tc>
        <w:tc>
          <w:tcPr>
            <w:tcW w:type="pct" w:w="1200"/>
            <w:shd w:fill="EEF2F7" w:color="auto" w:val="clear"/>
            <w:tcMar>
              <w:top w:type="dxa" w:w="40"/>
              <w:left w:type="dxa" w:w="60"/>
              <w:bottom w:type="dxa" w:w="40"/>
              <w:right w:type="dxa" w:w="60"/>
            </w:tcMar>
          </w:tcPr>
          <w:p>
            <w:pPr>
              <w:spacing w:after="0"/>
            </w:pPr>
            <w:r>
              <w:rPr>
                <w:b/>
                <w:bCs/>
              </w:rPr>
              <w:t xml:space="preserve">Account / License</w:t>
            </w:r>
          </w:p>
        </w:tc>
        <w:tc>
          <w:tcPr>
            <w:tcW w:type="pct" w:w="1400"/>
            <w:shd w:fill="EEF2F7" w:color="auto" w:val="clear"/>
            <w:tcMar>
              <w:top w:type="dxa" w:w="40"/>
              <w:left w:type="dxa" w:w="60"/>
              <w:bottom w:type="dxa" w:w="40"/>
              <w:right w:type="dxa" w:w="60"/>
            </w:tcMar>
          </w:tcPr>
          <w:p>
            <w:pPr>
              <w:spacing w:after="0"/>
            </w:pPr>
            <w:r>
              <w:rPr>
                <w:b/>
                <w:bCs/>
              </w:rPr>
              <w:t xml:space="preserve">Permitted use</w:t>
            </w:r>
          </w:p>
        </w:tc>
        <w:tc>
          <w:tcPr>
            <w:tcW w:type="pct" w:w="1200"/>
            <w:shd w:fill="EEF2F7" w:color="auto" w:val="clear"/>
            <w:tcMar>
              <w:top w:type="dxa" w:w="40"/>
              <w:left w:type="dxa" w:w="60"/>
              <w:bottom w:type="dxa" w:w="40"/>
              <w:right w:type="dxa" w:w="60"/>
            </w:tcMar>
          </w:tcPr>
          <w:p>
            <w:pPr>
              <w:spacing w:after="0"/>
            </w:pPr>
            <w:r>
              <w:rPr>
                <w:b/>
                <w:bCs/>
              </w:rPr>
              <w:t xml:space="preserve">Highest permitted data tier (see Section 4)</w:t>
            </w:r>
          </w:p>
        </w:tc>
      </w:tr>
      <w:tr>
        <w:tc>
          <w:tcPr>
            <w:tcW w:type="pct" w:w="1150"/>
            <w:tcMar>
              <w:top w:type="dxa" w:w="40"/>
              <w:left w:type="dxa" w:w="60"/>
              <w:bottom w:type="dxa" w:w="40"/>
              <w:right w:type="dxa" w:w="60"/>
            </w:tcMar>
          </w:tcPr>
          <w:p>
            <w:pPr>
              <w:spacing w:after="0"/>
            </w:pPr>
            <w:r>
              <w:rPr>
                <w:highlight w:val="yellow"/>
              </w:rPr>
              <w:t xml:space="preserve">[e.g. Microsoft 365 Copilot]</w:t>
            </w:r>
          </w:p>
        </w:tc>
        <w:tc>
          <w:tcPr>
            <w:tcW w:type="pct" w:w="1200"/>
            <w:tcMar>
              <w:top w:type="dxa" w:w="40"/>
              <w:left w:type="dxa" w:w="60"/>
              <w:bottom w:type="dxa" w:w="40"/>
              <w:right w:type="dxa" w:w="60"/>
            </w:tcMar>
          </w:tcPr>
          <w:p>
            <w:pPr>
              <w:spacing w:after="0"/>
            </w:pPr>
            <w:r>
              <w:rPr>
                <w:highlight w:val="yellow"/>
              </w:rPr>
              <w:t xml:space="preserve">[Company business license]</w:t>
            </w:r>
          </w:p>
        </w:tc>
        <w:tc>
          <w:tcPr>
            <w:tcW w:type="pct" w:w="1400"/>
            <w:tcMar>
              <w:top w:type="dxa" w:w="40"/>
              <w:left w:type="dxa" w:w="60"/>
              <w:bottom w:type="dxa" w:w="40"/>
              <w:right w:type="dxa" w:w="60"/>
            </w:tcMar>
          </w:tcPr>
          <w:p>
            <w:pPr>
              <w:spacing w:after="0"/>
            </w:pPr>
            <w:r>
              <w:rPr>
                <w:highlight w:val="yellow"/>
              </w:rPr>
              <w:t xml:space="preserve">[Drafting texts, summaries, research]</w:t>
            </w:r>
          </w:p>
        </w:tc>
        <w:tc>
          <w:tcPr>
            <w:tcW w:type="pct" w:w="1200"/>
            <w:tcMar>
              <w:top w:type="dxa" w:w="40"/>
              <w:left w:type="dxa" w:w="60"/>
              <w:bottom w:type="dxa" w:w="40"/>
              <w:right w:type="dxa" w:w="60"/>
            </w:tcMar>
          </w:tcPr>
          <w:p>
            <w:pPr>
              <w:spacing w:after="0"/>
            </w:pPr>
            <w:r>
              <w:rPr>
                <w:highlight w:val="yellow"/>
              </w:rPr>
              <w:t xml:space="preserve">[Yellow]</w:t>
            </w:r>
          </w:p>
        </w:tc>
      </w:tr>
      <w:tr>
        <w:tc>
          <w:tcPr>
            <w:tcW w:type="pct" w:w="1150"/>
            <w:tcMar>
              <w:top w:type="dxa" w:w="40"/>
              <w:left w:type="dxa" w:w="60"/>
              <w:bottom w:type="dxa" w:w="40"/>
              <w:right w:type="dxa" w:w="60"/>
            </w:tcMar>
          </w:tcPr>
          <w:p>
            <w:pPr>
              <w:spacing w:after="0"/>
            </w:pPr>
            <w:r>
              <w:rPr>
                <w:highlight w:val="yellow"/>
              </w:rPr>
              <w:t xml:space="preserve">[e.g. DeepL Pro]</w:t>
            </w:r>
          </w:p>
        </w:tc>
        <w:tc>
          <w:tcPr>
            <w:tcW w:type="pct" w:w="1200"/>
            <w:tcMar>
              <w:top w:type="dxa" w:w="40"/>
              <w:left w:type="dxa" w:w="60"/>
              <w:bottom w:type="dxa" w:w="40"/>
              <w:right w:type="dxa" w:w="60"/>
            </w:tcMar>
          </w:tcPr>
          <w:p>
            <w:pPr>
              <w:spacing w:after="0"/>
            </w:pPr>
            <w:r>
              <w:rPr>
                <w:highlight w:val="yellow"/>
              </w:rPr>
              <w:t xml:space="preserve">[Company account]</w:t>
            </w:r>
          </w:p>
        </w:tc>
        <w:tc>
          <w:tcPr>
            <w:tcW w:type="pct" w:w="1400"/>
            <w:tcMar>
              <w:top w:type="dxa" w:w="40"/>
              <w:left w:type="dxa" w:w="60"/>
              <w:bottom w:type="dxa" w:w="40"/>
              <w:right w:type="dxa" w:w="60"/>
            </w:tcMar>
          </w:tcPr>
          <w:p>
            <w:pPr>
              <w:spacing w:after="0"/>
            </w:pPr>
            <w:r>
              <w:rPr>
                <w:highlight w:val="yellow"/>
              </w:rPr>
              <w:t xml:space="preserve">[Translations]</w:t>
            </w:r>
          </w:p>
        </w:tc>
        <w:tc>
          <w:tcPr>
            <w:tcW w:type="pct" w:w="1200"/>
            <w:tcMar>
              <w:top w:type="dxa" w:w="40"/>
              <w:left w:type="dxa" w:w="60"/>
              <w:bottom w:type="dxa" w:w="40"/>
              <w:right w:type="dxa" w:w="60"/>
            </w:tcMar>
          </w:tcPr>
          <w:p>
            <w:pPr>
              <w:spacing w:after="0"/>
            </w:pPr>
            <w:r>
              <w:rPr>
                <w:highlight w:val="yellow"/>
              </w:rPr>
              <w:t xml:space="preserve">[Yellow]</w:t>
            </w:r>
          </w:p>
        </w:tc>
      </w:tr>
      <w:tr>
        <w:tc>
          <w:tcPr>
            <w:tcW w:type="pct" w:w="1150"/>
            <w:tcMar>
              <w:top w:type="dxa" w:w="40"/>
              <w:left w:type="dxa" w:w="60"/>
              <w:bottom w:type="dxa" w:w="40"/>
              <w:right w:type="dxa" w:w="60"/>
            </w:tcMar>
          </w:tcPr>
          <w:p>
            <w:pPr>
              <w:spacing w:after="0"/>
            </w:pPr>
            <w:r>
              <w:rPr>
                <w:highlight w:val="yellow"/>
              </w:rPr>
              <w:t xml:space="preserve">[Tool]</w:t>
            </w:r>
          </w:p>
        </w:tc>
        <w:tc>
          <w:tcPr>
            <w:tcW w:type="pct" w:w="1200"/>
            <w:tcMar>
              <w:top w:type="dxa" w:w="40"/>
              <w:left w:type="dxa" w:w="60"/>
              <w:bottom w:type="dxa" w:w="40"/>
              <w:right w:type="dxa" w:w="60"/>
            </w:tcMar>
          </w:tcPr>
          <w:p>
            <w:pPr>
              <w:spacing w:after="0"/>
            </w:pPr>
            <w:r>
              <w:rPr>
                <w:highlight w:val="yellow"/>
              </w:rPr>
              <w:t xml:space="preserve">[Account]</w:t>
            </w:r>
          </w:p>
        </w:tc>
        <w:tc>
          <w:tcPr>
            <w:tcW w:type="pct" w:w="1400"/>
            <w:tcMar>
              <w:top w:type="dxa" w:w="40"/>
              <w:left w:type="dxa" w:w="60"/>
              <w:bottom w:type="dxa" w:w="40"/>
              <w:right w:type="dxa" w:w="60"/>
            </w:tcMar>
          </w:tcPr>
          <w:p>
            <w:pPr>
              <w:spacing w:after="0"/>
            </w:pPr>
            <w:r>
              <w:rPr>
                <w:highlight w:val="yellow"/>
              </w:rPr>
              <w:t xml:space="preserve">[Use]</w:t>
            </w:r>
          </w:p>
        </w:tc>
        <w:tc>
          <w:tcPr>
            <w:tcW w:type="pct" w:w="1200"/>
            <w:tcMar>
              <w:top w:type="dxa" w:w="40"/>
              <w:left w:type="dxa" w:w="60"/>
              <w:bottom w:type="dxa" w:w="40"/>
              <w:right w:type="dxa" w:w="60"/>
            </w:tcMar>
          </w:tcPr>
          <w:p>
            <w:pPr>
              <w:spacing w:after="0"/>
            </w:pPr>
            <w:r>
              <w:rPr>
                <w:highlight w:val="yellow"/>
              </w:rPr>
              <w:t xml:space="preserve">[Green / Yellow]</w:t>
            </w:r>
          </w:p>
        </w:tc>
      </w:tr>
    </w:tbl>
    <w:p/>
    <w:p>
      <w:r>
        <w:rPr>
          <w:b/>
          <w:bCs/>
        </w:rPr>
        <w:t xml:space="preserve">New tools:</w:t>
      </w:r>
      <w:r>
        <w:t xml:space="preserve"> Anyone wishing to use an additional AI tool must apply to the AI-responsible person. Before a tool is approved, the AI-responsible person checks at least:</w:t>
      </w:r>
    </w:p>
    <w:p>
      <w:pPr>
        <w:pStyle w:val="ListParagraph"/>
        <w:numPr>
          <w:ilvl w:val="0"/>
          <w:numId w:val="5"/>
        </w:numPr>
        <w:spacing w:after="60"/>
        <w:ind w:left="360" w:hanging="360"/>
      </w:pPr>
      <w:r>
        <w:t xml:space="preserve">whether a business account with a data processing agreement (Auftragsbearbeitungsvertrag) is available;</w:t>
      </w:r>
    </w:p>
    <w:p>
      <w:pPr>
        <w:pStyle w:val="ListParagraph"/>
        <w:numPr>
          <w:ilvl w:val="0"/>
          <w:numId w:val="5"/>
        </w:numPr>
        <w:spacing w:after="60"/>
        <w:ind w:left="360" w:hanging="360"/>
      </w:pPr>
      <w:r>
        <w:t xml:space="preserve">whether the use of our data for the provider's (Anbieter) training purposes is excluded;</w:t>
      </w:r>
    </w:p>
    <w:p>
      <w:pPr>
        <w:pStyle w:val="ListParagraph"/>
        <w:numPr>
          <w:ilvl w:val="0"/>
          <w:numId w:val="5"/>
        </w:numPr>
        <w:spacing w:after="60"/>
        <w:ind w:left="360" w:hanging="360"/>
      </w:pPr>
      <w:r>
        <w:t xml:space="preserve">where the data is processed and stored and whether disclosure abroad is permissible (Art. 16–17 DSG);</w:t>
      </w:r>
    </w:p>
    <w:p>
      <w:pPr>
        <w:pStyle w:val="ListParagraph"/>
        <w:numPr>
          <w:ilvl w:val="0"/>
          <w:numId w:val="5"/>
        </w:numPr>
        <w:spacing w:after="60"/>
        <w:ind w:left="360" w:hanging="360"/>
      </w:pPr>
      <w:r>
        <w:t xml:space="preserve">which data tier is to be permitted within the tool.</w:t>
      </w:r>
    </w:p>
    <w:p>
      <w:r>
        <w:rPr>
          <w:b/>
          <w:bCs/>
        </w:rPr>
        <w:t xml:space="preserve">Not permitted</w:t>
      </w:r>
      <w:r>
        <w:t xml:space="preserve"> is the use of private or free accounts for work data, even if the tool itself is approved.</w:t>
      </w:r>
    </w:p>
    <w:p>
      <w:r>
        <w:rPr>
          <w:b/>
          <w:bCs/>
        </w:rPr>
        <w:t xml:space="preserve">Extensions and connectors:</w:t>
      </w:r>
      <w:r>
        <w:t xml:space="preserve"> AI browser extensions, plug-ins, and connections that give an AI tool access to email, files, or other systems are considered separate tools and likewise require approval.</w:t>
      </w:r>
    </w:p>
    <w:p>
      <w:pPr>
        <w:pStyle w:val="Heading1"/>
        <w:keepNext/>
      </w:pPr>
      <w:r>
        <w:t xml:space="preserve">4. What Data May Be Used in AI Tools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29"/>
        <w:gridCol w:w="4901"/>
        <w:gridCol w:w="2077"/>
      </w:tblGrid>
      <w:tr>
        <w:trPr>
          <w:tblHeader/>
        </w:trPr>
        <w:tc>
          <w:tcPr>
            <w:tcW w:type="pct" w:w="800"/>
            <w:shd w:fill="EEF2F7" w:color="auto" w:val="clear"/>
            <w:tcMar>
              <w:top w:type="dxa" w:w="40"/>
              <w:left w:type="dxa" w:w="60"/>
              <w:bottom w:type="dxa" w:w="40"/>
              <w:right w:type="dxa" w:w="60"/>
            </w:tcMar>
          </w:tcPr>
          <w:p>
            <w:pPr>
              <w:spacing w:after="0"/>
            </w:pPr>
            <w:r>
              <w:rPr>
                <w:b/>
                <w:bCs/>
              </w:rPr>
              <w:t xml:space="preserve">Tier</w:t>
            </w:r>
          </w:p>
        </w:tc>
        <w:tc>
          <w:tcPr>
            <w:tcW w:type="pct" w:w="2950"/>
            <w:shd w:fill="EEF2F7" w:color="auto" w:val="clear"/>
            <w:tcMar>
              <w:top w:type="dxa" w:w="40"/>
              <w:left w:type="dxa" w:w="60"/>
              <w:bottom w:type="dxa" w:w="40"/>
              <w:right w:type="dxa" w:w="60"/>
            </w:tcMar>
          </w:tcPr>
          <w:p>
            <w:pPr>
              <w:spacing w:after="0"/>
            </w:pPr>
            <w:r>
              <w:rPr>
                <w:b/>
                <w:bCs/>
              </w:rPr>
              <w:t xml:space="preserve">Examples</w:t>
            </w:r>
          </w:p>
        </w:tc>
        <w:tc>
          <w:tcPr>
            <w:tcW w:type="pct" w:w="1250"/>
            <w:shd w:fill="EEF2F7" w:color="auto" w:val="clear"/>
            <w:tcMar>
              <w:top w:type="dxa" w:w="40"/>
              <w:left w:type="dxa" w:w="60"/>
              <w:bottom w:type="dxa" w:w="40"/>
              <w:right w:type="dxa" w:w="60"/>
            </w:tcMar>
          </w:tcPr>
          <w:p>
            <w:pPr>
              <w:spacing w:after="0"/>
            </w:pPr>
            <w:r>
              <w:rPr>
                <w:b/>
                <w:bCs/>
              </w:rPr>
              <w:t xml:space="preserve">Rule</w:t>
            </w:r>
          </w:p>
        </w:tc>
      </w:tr>
      <w:tr>
        <w:tc>
          <w:tcPr>
            <w:tcW w:type="pct" w:w="800"/>
            <w:tcMar>
              <w:top w:type="dxa" w:w="40"/>
              <w:left w:type="dxa" w:w="60"/>
              <w:bottom w:type="dxa" w:w="40"/>
              <w:right w:type="dxa" w:w="60"/>
            </w:tcMar>
          </w:tcPr>
          <w:p>
            <w:pPr>
              <w:spacing w:after="0"/>
            </w:pPr>
            <w:r>
              <w:t xml:space="preserve">🟢 </w:t>
            </w:r>
            <w:r>
              <w:rPr>
                <w:b/>
                <w:bCs/>
              </w:rPr>
              <w:t xml:space="preserve">Green</w:t>
            </w:r>
            <w:r>
              <w:t xml:space="preserve"> (public)</w:t>
            </w:r>
          </w:p>
        </w:tc>
        <w:tc>
          <w:tcPr>
            <w:tcW w:type="pct" w:w="2950"/>
            <w:tcMar>
              <w:top w:type="dxa" w:w="40"/>
              <w:left w:type="dxa" w:w="60"/>
              <w:bottom w:type="dxa" w:w="40"/>
              <w:right w:type="dxa" w:w="60"/>
            </w:tcMar>
          </w:tcPr>
          <w:p>
            <w:pPr>
              <w:spacing w:after="0"/>
            </w:pPr>
            <w:r>
              <w:t xml:space="preserve">Publicly available information, general questions, own texts without confidential content</w:t>
            </w:r>
          </w:p>
        </w:tc>
        <w:tc>
          <w:tcPr>
            <w:tcW w:type="pct" w:w="1250"/>
            <w:tcMar>
              <w:top w:type="dxa" w:w="40"/>
              <w:left w:type="dxa" w:w="60"/>
              <w:bottom w:type="dxa" w:w="40"/>
              <w:right w:type="dxa" w:w="60"/>
            </w:tcMar>
          </w:tcPr>
          <w:p>
            <w:pPr>
              <w:spacing w:after="0"/>
            </w:pPr>
            <w:r>
              <w:t xml:space="preserve">Permitted in all approved tools.</w:t>
            </w:r>
          </w:p>
        </w:tc>
      </w:tr>
      <w:tr>
        <w:tc>
          <w:tcPr>
            <w:tcW w:type="pct" w:w="800"/>
            <w:tcMar>
              <w:top w:type="dxa" w:w="40"/>
              <w:left w:type="dxa" w:w="60"/>
              <w:bottom w:type="dxa" w:w="40"/>
              <w:right w:type="dxa" w:w="60"/>
            </w:tcMar>
          </w:tcPr>
          <w:p>
            <w:pPr>
              <w:spacing w:after="0"/>
            </w:pPr>
            <w:r>
              <w:t xml:space="preserve">🟡 </w:t>
            </w:r>
            <w:r>
              <w:rPr>
                <w:b/>
                <w:bCs/>
              </w:rPr>
              <w:t xml:space="preserve">Yellow</w:t>
            </w:r>
            <w:r>
              <w:t xml:space="preserve"> (internal / personal data)</w:t>
            </w:r>
          </w:p>
        </w:tc>
        <w:tc>
          <w:tcPr>
            <w:tcW w:type="pct" w:w="2950"/>
            <w:tcMar>
              <w:top w:type="dxa" w:w="40"/>
              <w:left w:type="dxa" w:w="60"/>
              <w:bottom w:type="dxa" w:w="40"/>
              <w:right w:type="dxa" w:w="60"/>
            </w:tcMar>
          </w:tcPr>
          <w:p>
            <w:pPr>
              <w:spacing w:after="0"/>
            </w:pPr>
            <w:r>
              <w:t xml:space="preserve">Internal documents, quotes, names and contact details of customers or employees, customer correspondence</w:t>
            </w:r>
          </w:p>
        </w:tc>
        <w:tc>
          <w:tcPr>
            <w:tcW w:type="pct" w:w="1250"/>
            <w:tcMar>
              <w:top w:type="dxa" w:w="40"/>
              <w:left w:type="dxa" w:w="60"/>
              <w:bottom w:type="dxa" w:w="40"/>
              <w:right w:type="dxa" w:w="60"/>
            </w:tcMar>
          </w:tcPr>
          <w:p>
            <w:pPr>
              <w:spacing w:after="0"/>
            </w:pPr>
            <w:r>
              <w:t xml:space="preserve">Only in tools approved for "Yellow" in Section 3. Only as much data as necessary; anonymize or omit names where possible.</w:t>
            </w:r>
          </w:p>
        </w:tc>
      </w:tr>
      <w:tr>
        <w:tc>
          <w:tcPr>
            <w:tcW w:type="pct" w:w="800"/>
            <w:tcMar>
              <w:top w:type="dxa" w:w="40"/>
              <w:left w:type="dxa" w:w="60"/>
              <w:bottom w:type="dxa" w:w="40"/>
              <w:right w:type="dxa" w:w="60"/>
            </w:tcMar>
          </w:tcPr>
          <w:p>
            <w:pPr>
              <w:spacing w:after="0"/>
            </w:pPr>
            <w:r>
              <w:t xml:space="preserve">🔴 </w:t>
            </w:r>
            <w:r>
              <w:rPr>
                <w:b/>
                <w:bCs/>
              </w:rPr>
              <w:t xml:space="preserve">Red</w:t>
            </w:r>
            <w:r>
              <w:t xml:space="preserve"> (strictly confidential / particularly sensitive)</w:t>
            </w:r>
          </w:p>
        </w:tc>
        <w:tc>
          <w:tcPr>
            <w:tcW w:type="pct" w:w="2950"/>
            <w:tcMar>
              <w:top w:type="dxa" w:w="40"/>
              <w:left w:type="dxa" w:w="60"/>
              <w:bottom w:type="dxa" w:w="40"/>
              <w:right w:type="dxa" w:w="60"/>
            </w:tcMar>
          </w:tcPr>
          <w:p>
            <w:pPr>
              <w:spacing w:after="0"/>
            </w:pPr>
            <w:r>
              <w:t xml:space="preserve">Particularly sensitive personal data (Art. 5 lit. c DSG), e.g. concerning health, religion, political views, union membership or ethnicity, genetic and biometric data, information on criminal proceedings or social assistance; data subject to professional secrecy; trade secrets of customers; passwords, access credentials, banking and card data</w:t>
            </w:r>
          </w:p>
        </w:tc>
        <w:tc>
          <w:tcPr>
            <w:tcW w:type="pct" w:w="1250"/>
            <w:tcMar>
              <w:top w:type="dxa" w:w="40"/>
              <w:left w:type="dxa" w:w="60"/>
              <w:bottom w:type="dxa" w:w="40"/>
              <w:right w:type="dxa" w:w="60"/>
            </w:tcMar>
          </w:tcPr>
          <w:p>
            <w:pPr>
              <w:spacing w:after="0"/>
            </w:pPr>
            <w:r>
              <w:rPr>
                <w:b/>
                <w:bCs/>
              </w:rPr>
              <w:t xml:space="preserve">Never</w:t>
            </w:r>
            <w:r>
              <w:t xml:space="preserve"> enter into AI tools, unless the AI-responsible person has approved a specific tool for a specific purpose in writing.</w:t>
            </w:r>
          </w:p>
        </w:tc>
      </w:tr>
    </w:tbl>
    <w:p/>
    <w:p>
      <w:r>
        <w:t xml:space="preserve">If you are unsure which tier applies, treat the data as belonging to the next higher tier.</w:t>
      </w:r>
    </w:p>
    <w:p>
      <w:pPr>
        <w:pStyle w:val="Heading1"/>
        <w:keepNext/>
      </w:pPr>
      <w:r>
        <w:t xml:space="preserve">5. Handling AI Outputs</w:t>
      </w:r>
    </w:p>
    <w:p>
      <w:pPr>
        <w:pStyle w:val="ListParagraph"/>
        <w:numPr>
          <w:ilvl w:val="0"/>
          <w:numId w:val="6"/>
        </w:numPr>
        <w:spacing w:after="60"/>
        <w:ind w:left="360" w:hanging="360"/>
      </w:pPr>
      <w:r>
        <w:rPr>
          <w:b/>
          <w:bCs/>
        </w:rPr>
        <w:t xml:space="preserve">Check content.</w:t>
      </w:r>
      <w:r>
        <w:t xml:space="preserve"> Facts, figures, quotations, sources, and calculations are verified before use. AI outputs are never treated as the sole source for legal, tax, medical, or financial statements.</w:t>
      </w:r>
    </w:p>
    <w:p>
      <w:pPr>
        <w:pStyle w:val="ListParagraph"/>
        <w:numPr>
          <w:ilvl w:val="0"/>
          <w:numId w:val="6"/>
        </w:numPr>
        <w:spacing w:after="60"/>
        <w:ind w:left="360" w:hanging="360"/>
      </w:pPr>
      <w:r>
        <w:rPr>
          <w:b/>
          <w:bCs/>
        </w:rPr>
        <w:t xml:space="preserve">Respect third-party rights.</w:t>
      </w:r>
      <w:r>
        <w:t xml:space="preserve"> AI-generated texts, images, and code may infringe third-party rights. Before publication or disclosure to customers, this is checked using sound judgment; when in doubt, the AI-responsible person is consulted.</w:t>
      </w:r>
    </w:p>
    <w:p>
      <w:pPr>
        <w:pStyle w:val="ListParagraph"/>
        <w:numPr>
          <w:ilvl w:val="0"/>
          <w:numId w:val="6"/>
        </w:numPr>
        <w:spacing w:after="60"/>
        <w:ind w:left="360" w:hanging="360"/>
      </w:pPr>
      <w:r>
        <w:rPr>
          <w:b/>
          <w:bCs/>
        </w:rPr>
        <w:t xml:space="preserve">No decisions about individuals without human involvement.</w:t>
      </w:r>
      <w:r>
        <w:t xml:space="preserve"> AI may help prepare decisions about individuals (e.g. applications, creditworthiness, pricing, terminations), but must not make them alone. A person reviews the substance of each such decision and records how it was decided. This ensures that no decisions are made solely through automated individual decision-making, which would be subject to special information and review obligations (Art. 21 DSG).</w:t>
      </w:r>
    </w:p>
    <w:p>
      <w:pPr>
        <w:pStyle w:val="ListParagraph"/>
        <w:numPr>
          <w:ilvl w:val="0"/>
          <w:numId w:val="6"/>
        </w:numPr>
        <w:spacing w:after="60"/>
        <w:ind w:left="360" w:hanging="360"/>
      </w:pPr>
      <w:r>
        <w:rPr>
          <w:b/>
          <w:bCs/>
        </w:rPr>
        <w:t xml:space="preserve">Label where necessary.</w:t>
      </w:r>
      <w:r>
        <w:t xml:space="preserve"> Content that was predominantly created by AI and is intended for the public is </w:t>
      </w:r>
      <w:r>
        <w:rPr>
          <w:highlight w:val="yellow"/>
        </w:rPr>
        <w:t xml:space="preserve">[labeled as AI-generated / labeled as agreed with the AI-responsible person]</w:t>
      </w:r>
      <w:r>
        <w:t xml:space="preserve">.</w:t>
      </w:r>
    </w:p>
    <w:p>
      <w:pPr>
        <w:pStyle w:val="ListParagraph"/>
        <w:numPr>
          <w:ilvl w:val="0"/>
          <w:numId w:val="6"/>
        </w:numPr>
        <w:spacing w:after="60"/>
        <w:ind w:left="360" w:hanging="360"/>
      </w:pPr>
      <w:r>
        <w:rPr>
          <w:b/>
          <w:bCs/>
        </w:rPr>
        <w:t xml:space="preserve">AI that acts autonomously.</w:t>
      </w:r>
      <w:r>
        <w:t xml:space="preserve"> AI tools capable of performing actions themselves (e.g. sending emails, booking, paying, deleting) are given only the access they need for their task. A person confirms any irreversible action beforehand. Content from external sources (incoming emails, websites, documents) may contain hidden instructions to the AI and is considered untrustworthy.</w:t>
      </w:r>
    </w:p>
    <w:p>
      <w:pPr>
        <w:pStyle w:val="ListParagraph"/>
        <w:numPr>
          <w:ilvl w:val="0"/>
          <w:numId w:val="6"/>
        </w:numPr>
        <w:spacing w:after="60"/>
        <w:ind w:left="360" w:hanging="360"/>
      </w:pPr>
      <w:r>
        <w:rPr>
          <w:b/>
          <w:bCs/>
        </w:rPr>
        <w:t xml:space="preserve">Scrutinize unusual requests.</w:t>
      </w:r>
      <w:r>
        <w:t xml:space="preserve"> Payment and data requests are confirmed through a second channel (e.g. a callback to a known number), regardless of how convincing an email, voice, or video may seem. Voices and faces can be convincingly faked using AI.</w:t>
      </w:r>
    </w:p>
    <w:p>
      <w:pPr>
        <w:pStyle w:val="Heading1"/>
        <w:keepNext/>
      </w:pPr>
      <w:r>
        <w:t xml:space="preserve">6. Transparency Toward Third Parties</w:t>
      </w:r>
    </w:p>
    <w:p>
      <w:pPr>
        <w:pStyle w:val="ListParagraph"/>
        <w:numPr>
          <w:ilvl w:val="0"/>
          <w:numId w:val="7"/>
        </w:numPr>
        <w:spacing w:after="60"/>
        <w:ind w:left="360" w:hanging="360"/>
      </w:pPr>
      <w:r>
        <w:t xml:space="preserve">Chatbots and other AI systems that interact directly with customers or applicants are clearly identifiable as AI.</w:t>
      </w:r>
    </w:p>
    <w:p>
      <w:pPr>
        <w:pStyle w:val="ListParagraph"/>
        <w:numPr>
          <w:ilvl w:val="0"/>
          <w:numId w:val="7"/>
        </w:numPr>
        <w:spacing w:after="60"/>
        <w:ind w:left="360" w:hanging="360"/>
      </w:pPr>
      <w:r>
        <w:t xml:space="preserve">The AI-responsible person ensures that the privacy policy (Datenschutzerklärung) informs about the processing of personal data using AI tools: purpose, recipients or categories of recipients (e.g. the providers), and, where applicable, the countries to which data is transferred (Art. 19 DSG).</w:t>
      </w:r>
    </w:p>
    <w:p>
      <w:pPr>
        <w:pStyle w:val="Heading1"/>
        <w:keepNext/>
      </w:pPr>
      <w:r>
        <w:t xml:space="preserve">7. Prohibited Uses</w:t>
      </w:r>
    </w:p>
    <w:p>
      <w:r>
        <w:t xml:space="preserve">The following is not permitted:</w:t>
      </w:r>
    </w:p>
    <w:p>
      <w:pPr>
        <w:pStyle w:val="ListParagraph"/>
        <w:numPr>
          <w:ilvl w:val="0"/>
          <w:numId w:val="8"/>
        </w:numPr>
        <w:spacing w:after="60"/>
        <w:ind w:left="360" w:hanging="360"/>
      </w:pPr>
      <w:r>
        <w:t xml:space="preserve">using AI to deceive individuals, e.g. through fake reviews or deceptively realistic images, voices, or videos of real people;</w:t>
      </w:r>
    </w:p>
    <w:p>
      <w:pPr>
        <w:pStyle w:val="ListParagraph"/>
        <w:numPr>
          <w:ilvl w:val="0"/>
          <w:numId w:val="8"/>
        </w:numPr>
        <w:spacing w:after="60"/>
        <w:ind w:left="360" w:hanging="360"/>
      </w:pPr>
      <w:r>
        <w:t xml:space="preserve">using AI to monitor employee behavior (Art. 26 ArGV 3) or to process employee data that does not relate to their suitability for the position or the performance of the employment contract (Art. 328b OR);</w:t>
      </w:r>
    </w:p>
    <w:p>
      <w:pPr>
        <w:pStyle w:val="ListParagraph"/>
        <w:numPr>
          <w:ilvl w:val="0"/>
          <w:numId w:val="8"/>
        </w:numPr>
        <w:spacing w:after="60"/>
        <w:ind w:left="360" w:hanging="360"/>
      </w:pPr>
      <w:r>
        <w:t xml:space="preserve">using unreviewed AI outputs as a basis for decisions about individuals (see Section 5);</w:t>
      </w:r>
    </w:p>
    <w:p>
      <w:pPr>
        <w:pStyle w:val="ListParagraph"/>
        <w:numPr>
          <w:ilvl w:val="0"/>
          <w:numId w:val="8"/>
        </w:numPr>
        <w:spacing w:after="60"/>
        <w:ind w:left="360" w:hanging="360"/>
      </w:pPr>
      <w:r>
        <w:t xml:space="preserve">circumventing security measures of AI tools or our IT systems;</w:t>
      </w:r>
    </w:p>
    <w:p>
      <w:pPr>
        <w:pStyle w:val="ListParagraph"/>
        <w:numPr>
          <w:ilvl w:val="0"/>
          <w:numId w:val="8"/>
        </w:numPr>
        <w:spacing w:after="60"/>
        <w:ind w:left="360" w:hanging="360"/>
      </w:pPr>
      <w:r>
        <w:rPr>
          <w:highlight w:val="yellow"/>
        </w:rPr>
        <w:t xml:space="preserve">[further company-specific prohibitions]</w:t>
      </w:r>
      <w:r>
        <w:t xml:space="preserve">.</w:t>
      </w:r>
    </w:p>
    <w:p>
      <w:pPr>
        <w:pStyle w:val="Heading1"/>
        <w:keepNext/>
      </w:pPr>
      <w:r>
        <w:t xml:space="preserve">8. Responsibilities</w:t>
      </w:r>
    </w:p>
    <w:p>
      <w:r>
        <w:rPr>
          <w:b/>
          <w:bCs/>
        </w:rPr>
        <w:t xml:space="preserve">The AI-responsible person</w:t>
      </w:r>
    </w:p>
    <w:p>
      <w:pPr>
        <w:pStyle w:val="ListParagraph"/>
        <w:numPr>
          <w:ilvl w:val="0"/>
          <w:numId w:val="9"/>
        </w:numPr>
        <w:spacing w:after="60"/>
        <w:ind w:left="360" w:hanging="360"/>
      </w:pPr>
      <w:r>
        <w:t xml:space="preserve">maintains the list of approved tools (Appendix) and keeps it up to date;</w:t>
      </w:r>
    </w:p>
    <w:p>
      <w:pPr>
        <w:pStyle w:val="ListParagraph"/>
        <w:numPr>
          <w:ilvl w:val="0"/>
          <w:numId w:val="9"/>
        </w:numPr>
        <w:spacing w:after="60"/>
        <w:ind w:left="360" w:hanging="360"/>
      </w:pPr>
      <w:r>
        <w:t xml:space="preserve">decides on applications for new tools;</w:t>
      </w:r>
    </w:p>
    <w:p>
      <w:pPr>
        <w:pStyle w:val="ListParagraph"/>
        <w:numPr>
          <w:ilvl w:val="0"/>
          <w:numId w:val="9"/>
        </w:numPr>
        <w:spacing w:after="60"/>
        <w:ind w:left="360" w:hanging="360"/>
      </w:pPr>
      <w:r>
        <w:t xml:space="preserve">answers questions about the policy;</w:t>
      </w:r>
    </w:p>
    <w:p>
      <w:pPr>
        <w:pStyle w:val="ListParagraph"/>
        <w:numPr>
          <w:ilvl w:val="0"/>
          <w:numId w:val="9"/>
        </w:numPr>
        <w:spacing w:after="60"/>
        <w:ind w:left="360" w:hanging="360"/>
      </w:pPr>
      <w:r>
        <w:t xml:space="preserve">ensures training (Section 9) and incident handling (Section 10);</w:t>
      </w:r>
    </w:p>
    <w:p>
      <w:pPr>
        <w:pStyle w:val="ListParagraph"/>
        <w:numPr>
          <w:ilvl w:val="0"/>
          <w:numId w:val="9"/>
        </w:numPr>
        <w:spacing w:after="60"/>
        <w:ind w:left="360" w:hanging="360"/>
      </w:pPr>
      <w:r>
        <w:t xml:space="preserve">reviews the policy at least annually.</w:t>
      </w:r>
    </w:p>
    <w:p>
      <w:r>
        <w:rPr>
          <w:b/>
          <w:bCs/>
        </w:rPr>
        <w:t xml:space="preserve">Supervisors</w:t>
      </w:r>
      <w:r>
        <w:t xml:space="preserve"> ensure that their team knows and complies with the policy.</w:t>
      </w:r>
    </w:p>
    <w:p>
      <w:r>
        <w:rPr>
          <w:b/>
          <w:bCs/>
        </w:rPr>
        <w:t xml:space="preserve">All employees</w:t>
      </w:r>
      <w:r>
        <w:t xml:space="preserve"> comply with this policy and report uncertainties and incidents.</w:t>
      </w:r>
    </w:p>
    <w:p>
      <w:pPr>
        <w:pStyle w:val="Heading1"/>
        <w:keepNext/>
      </w:pPr>
      <w:r>
        <w:t xml:space="preserve">9. Training</w:t>
      </w:r>
    </w:p>
    <w:p>
      <w:r>
        <w:t xml:space="preserve">Anyone using AI tools is trained before first use and thereafter </w:t>
      </w:r>
      <w:r>
        <w:rPr>
          <w:highlight w:val="yellow"/>
        </w:rPr>
        <w:t xml:space="preserve">[annually]</w:t>
      </w:r>
      <w:r>
        <w:t xml:space="preserve">: what AI does well and poorly, what data must not be entered, and how outputs are to be reviewed. The AI-responsible person records who was trained and when.</w:t>
      </w:r>
    </w:p>
    <w:p>
      <w:pPr>
        <w:pStyle w:val="Heading1"/>
        <w:keepNext/>
      </w:pPr>
      <w:r>
        <w:t xml:space="preserve">10. Incidents</w:t>
      </w:r>
    </w:p>
    <w:p>
      <w:r>
        <w:t xml:space="preserve">Report </w:t>
      </w:r>
      <w:r>
        <w:rPr>
          <w:b/>
          <w:bCs/>
        </w:rPr>
        <w:t xml:space="preserve">immediately</w:t>
      </w:r>
      <w:r>
        <w:t xml:space="preserve"> to </w:t>
      </w:r>
      <w:r>
        <w:rPr>
          <w:highlight w:val="yellow"/>
        </w:rPr>
        <w:t xml:space="preserve">[Name / Email / Phone]</w:t>
      </w:r>
      <w:r>
        <w:t xml:space="preserve"> if:</w:t>
      </w:r>
    </w:p>
    <w:p>
      <w:pPr>
        <w:pStyle w:val="ListParagraph"/>
        <w:numPr>
          <w:ilvl w:val="0"/>
          <w:numId w:val="10"/>
        </w:numPr>
        <w:spacing w:after="60"/>
        <w:ind w:left="360" w:hanging="360"/>
      </w:pPr>
      <w:r>
        <w:t xml:space="preserve">data of the Yellow or Red tier has entered a tool not approved for that purpose;</w:t>
      </w:r>
    </w:p>
    <w:p>
      <w:pPr>
        <w:pStyle w:val="ListParagraph"/>
        <w:numPr>
          <w:ilvl w:val="0"/>
          <w:numId w:val="10"/>
        </w:numPr>
        <w:spacing w:after="60"/>
        <w:ind w:left="360" w:hanging="360"/>
      </w:pPr>
      <w:r>
        <w:t xml:space="preserve">a faulty AI output has reached customers or the public;</w:t>
      </w:r>
    </w:p>
    <w:p>
      <w:pPr>
        <w:pStyle w:val="ListParagraph"/>
        <w:numPr>
          <w:ilvl w:val="0"/>
          <w:numId w:val="10"/>
        </w:numPr>
        <w:spacing w:after="60"/>
        <w:ind w:left="360" w:hanging="360"/>
      </w:pPr>
      <w:r>
        <w:t xml:space="preserve">you suspect that an AI tool or account is being misused, or that an AI tool has done something nobody initiated;</w:t>
      </w:r>
    </w:p>
    <w:p>
      <w:pPr>
        <w:pStyle w:val="ListParagraph"/>
        <w:numPr>
          <w:ilvl w:val="0"/>
          <w:numId w:val="10"/>
        </w:numPr>
        <w:spacing w:after="60"/>
        <w:ind w:left="360" w:hanging="360"/>
      </w:pPr>
      <w:r>
        <w:t xml:space="preserve">you have received a suspicious request that may be fake (e.g. a call or video from management with an urgent payment instruction).</w:t>
      </w:r>
    </w:p>
    <w:p>
      <w:r>
        <w:t xml:space="preserve">Prompt reporting is encouraged. Anyone who reports an incident need not fear any disadvantage from the report itself. The AI-responsible person limits the damage, documents the incident, and checks whether a report to the Federal Data Protection and Information Commissioner (Eidgenössischer Datenschutz- und Öffentlichkeitsbeauftragter, EDÖB) is required (Art. 24 DSG) and whether affected individuals must be informed.</w:t>
      </w:r>
    </w:p>
    <w:p>
      <w:pPr>
        <w:pStyle w:val="Heading1"/>
        <w:keepNext/>
      </w:pPr>
      <w:r>
        <w:t xml:space="preserve">11. Review and Violations</w:t>
      </w:r>
    </w:p>
    <w:p>
      <w:r>
        <w:t xml:space="preserve">This policy is reviewed at least annually, as well as when new tools are introduced or legal requirements change.</w:t>
      </w:r>
    </w:p>
    <w:p>
      <w:r>
        <w:t xml:space="preserve">Violations may result in disciplinary action under employment law.</w:t>
      </w:r>
    </w:p>
    <w:p>
      <w:pPr>
        <w:pBdr>
          <w:bottom w:val="single" w:color="94A3B8" w:sz="6" w:space="1"/>
        </w:pBdr>
      </w:pPr>
    </w:p>
    <w:p>
      <w:pPr>
        <w:pStyle w:val="Heading1"/>
        <w:keepNext/>
      </w:pPr>
      <w:r>
        <w:t xml:space="preserve">Acknowledgment</w:t>
      </w:r>
    </w:p>
    <w:p>
      <w:r>
        <w:t xml:space="preserve">I have read and understood the AI Policy of </w:t>
      </w:r>
      <w:r>
        <w:rPr>
          <w:highlight w:val="yellow"/>
        </w:rPr>
        <w:t xml:space="preserve">[Company name]</w:t>
      </w:r>
      <w:r>
        <w:t xml:space="preserve"> (Version </w:t>
      </w:r>
      <w:r>
        <w:rPr>
          <w:highlight w:val="yellow"/>
        </w:rPr>
        <w:t xml:space="preserve">[1.0]</w:t>
      </w:r>
      <w:r>
        <w:t xml:space="preserve">) and will comply with it.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58"/>
        <w:gridCol w:w="2575"/>
        <w:gridCol w:w="2990"/>
      </w:tblGrid>
      <w:tr>
        <w:trPr>
          <w:tblHeader/>
        </w:trPr>
        <w:tc>
          <w:tcPr>
            <w:tcW w:type="pct" w:w="1600"/>
            <w:shd w:fill="EEF2F7" w:color="auto" w:val="clear"/>
            <w:tcMar>
              <w:top w:type="dxa" w:w="40"/>
              <w:left w:type="dxa" w:w="60"/>
              <w:bottom w:type="dxa" w:w="40"/>
              <w:right w:type="dxa" w:w="60"/>
            </w:tcMar>
          </w:tcPr>
          <w:p>
            <w:pPr>
              <w:spacing w:after="0"/>
            </w:pPr>
            <w:r>
              <w:rPr>
                <w:b/>
                <w:bCs/>
              </w:rPr>
              <w:t xml:space="preserve">Name</w:t>
            </w:r>
          </w:p>
        </w:tc>
        <w:tc>
          <w:tcPr>
            <w:tcW w:type="pct" w:w="1550"/>
            <w:shd w:fill="EEF2F7" w:color="auto" w:val="clear"/>
            <w:tcMar>
              <w:top w:type="dxa" w:w="40"/>
              <w:left w:type="dxa" w:w="60"/>
              <w:bottom w:type="dxa" w:w="40"/>
              <w:right w:type="dxa" w:w="60"/>
            </w:tcMar>
          </w:tcPr>
          <w:p>
            <w:pPr>
              <w:spacing w:after="0"/>
            </w:pPr>
            <w:r>
              <w:rPr>
                <w:b/>
                <w:bCs/>
              </w:rPr>
              <w:t xml:space="preserve">Date</w:t>
            </w:r>
          </w:p>
        </w:tc>
        <w:tc>
          <w:tcPr>
            <w:tcW w:type="pct" w:w="1800"/>
            <w:shd w:fill="EEF2F7" w:color="auto" w:val="clear"/>
            <w:tcMar>
              <w:top w:type="dxa" w:w="40"/>
              <w:left w:type="dxa" w:w="60"/>
              <w:bottom w:type="dxa" w:w="40"/>
              <w:right w:type="dxa" w:w="60"/>
            </w:tcMar>
          </w:tcPr>
          <w:p>
            <w:pPr>
              <w:spacing w:after="0"/>
            </w:pPr>
            <w:r>
              <w:rPr>
                <w:b/>
                <w:bCs/>
              </w:rPr>
              <w:t xml:space="preserve">Signature</w:t>
            </w:r>
          </w:p>
        </w:tc>
      </w:tr>
      <w:tr>
        <w:tc>
          <w:tcPr>
            <w:tcW w:type="pct" w:w="1600"/>
            <w:tcMar>
              <w:top w:type="dxa" w:w="40"/>
              <w:left w:type="dxa" w:w="60"/>
              <w:bottom w:type="dxa" w:w="40"/>
              <w:right w:type="dxa" w:w="60"/>
            </w:tcMar>
          </w:tcPr>
          <w:p>
            <w:pPr>
              <w:spacing w:after="0"/>
            </w:pPr>
          </w:p>
        </w:tc>
        <w:tc>
          <w:tcPr>
            <w:tcW w:type="pct" w:w="1550"/>
            <w:tcMar>
              <w:top w:type="dxa" w:w="40"/>
              <w:left w:type="dxa" w:w="60"/>
              <w:bottom w:type="dxa" w:w="40"/>
              <w:right w:type="dxa" w:w="60"/>
            </w:tcMar>
          </w:tcPr>
          <w:p>
            <w:pPr>
              <w:spacing w:after="0"/>
            </w:pPr>
          </w:p>
        </w:tc>
        <w:tc>
          <w:tcPr>
            <w:tcW w:type="pct" w:w="1800"/>
            <w:tcMar>
              <w:top w:type="dxa" w:w="40"/>
              <w:left w:type="dxa" w:w="60"/>
              <w:bottom w:type="dxa" w:w="40"/>
              <w:right w:type="dxa" w:w="60"/>
            </w:tcMar>
          </w:tcPr>
          <w:p>
            <w:pPr>
              <w:spacing w:after="0"/>
            </w:pPr>
          </w:p>
        </w:tc>
      </w:tr>
    </w:tbl>
    <w:p/>
    <w:p>
      <w:pPr>
        <w:pBdr>
          <w:bottom w:val="single" w:color="94A3B8" w:sz="6" w:space="1"/>
        </w:pBdr>
      </w:pPr>
    </w:p>
    <w:p>
      <w:pPr>
        <w:pStyle w:val="Heading1"/>
        <w:keepNext/>
      </w:pPr>
      <w:r>
        <w:t xml:space="preserve">Appendix: Register of AI Tools</w:t>
      </w:r>
    </w:p>
    <w:p>
      <w:r>
        <w:rPr>
          <w:i/>
          <w:iCs/>
        </w:rPr>
        <w:t xml:space="preserve">To be kept up to date by the AI-responsible person. Includes all known AI tools, including rejected or not-yet-reviewed ones.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8"/>
        <w:gridCol w:w="748"/>
        <w:gridCol w:w="664"/>
        <w:gridCol w:w="748"/>
        <w:gridCol w:w="831"/>
        <w:gridCol w:w="831"/>
        <w:gridCol w:w="748"/>
        <w:gridCol w:w="997"/>
        <w:gridCol w:w="1080"/>
        <w:gridCol w:w="1163"/>
      </w:tblGrid>
      <w:tr>
        <w:trPr>
          <w:tblHeader/>
        </w:trPr>
        <w:tc>
          <w:tcPr>
            <w:tcW w:type="pct" w:w="300"/>
            <w:shd w:fill="EEF2F7" w:color="auto" w:val="clear"/>
            <w:tcMar>
              <w:top w:type="dxa" w:w="40"/>
              <w:left w:type="dxa" w:w="60"/>
              <w:bottom w:type="dxa" w:w="40"/>
              <w:right w:type="dxa" w:w="60"/>
            </w:tcMar>
          </w:tcPr>
          <w:p>
            <w:pPr>
              <w:spacing w:after="0"/>
            </w:pPr>
            <w:r>
              <w:rPr>
                <w:b/>
                <w:bCs/>
                <w:sz w:val="18"/>
                <w:szCs w:val="18"/>
              </w:rPr>
              <w:t xml:space="preserve">Tool</w:t>
            </w:r>
          </w:p>
        </w:tc>
        <w:tc>
          <w:tcPr>
            <w:tcW w:type="pct" w:w="450"/>
            <w:shd w:fill="EEF2F7" w:color="auto" w:val="clear"/>
            <w:tcMar>
              <w:top w:type="dxa" w:w="40"/>
              <w:left w:type="dxa" w:w="60"/>
              <w:bottom w:type="dxa" w:w="40"/>
              <w:right w:type="dxa" w:w="60"/>
            </w:tcMar>
          </w:tcPr>
          <w:p>
            <w:pPr>
              <w:spacing w:after="0"/>
            </w:pPr>
            <w:r>
              <w:rPr>
                <w:b/>
                <w:bCs/>
                <w:sz w:val="18"/>
                <w:szCs w:val="18"/>
              </w:rPr>
              <w:t xml:space="preserve">Provider</w:t>
            </w:r>
          </w:p>
        </w:tc>
        <w:tc>
          <w:tcPr>
            <w:tcW w:type="pct" w:w="400"/>
            <w:shd w:fill="EEF2F7" w:color="auto" w:val="clear"/>
            <w:tcMar>
              <w:top w:type="dxa" w:w="40"/>
              <w:left w:type="dxa" w:w="60"/>
              <w:bottom w:type="dxa" w:w="40"/>
              <w:right w:type="dxa" w:w="60"/>
            </w:tcMar>
          </w:tcPr>
          <w:p>
            <w:pPr>
              <w:spacing w:after="0"/>
            </w:pPr>
            <w:r>
              <w:rPr>
                <w:b/>
                <w:bCs/>
                <w:sz w:val="18"/>
                <w:szCs w:val="18"/>
              </w:rPr>
              <w:t xml:space="preserve">Status</w:t>
            </w:r>
          </w:p>
        </w:tc>
        <w:tc>
          <w:tcPr>
            <w:tcW w:type="pct" w:w="450"/>
            <w:shd w:fill="EEF2F7" w:color="auto" w:val="clear"/>
            <w:tcMar>
              <w:top w:type="dxa" w:w="40"/>
              <w:left w:type="dxa" w:w="60"/>
              <w:bottom w:type="dxa" w:w="40"/>
              <w:right w:type="dxa" w:w="60"/>
            </w:tcMar>
          </w:tcPr>
          <w:p>
            <w:pPr>
              <w:spacing w:after="0"/>
            </w:pPr>
            <w:r>
              <w:rPr>
                <w:b/>
                <w:bCs/>
                <w:sz w:val="18"/>
                <w:szCs w:val="18"/>
              </w:rPr>
              <w:t xml:space="preserve">Purpose</w:t>
            </w:r>
          </w:p>
        </w:tc>
        <w:tc>
          <w:tcPr>
            <w:tcW w:type="pct" w:w="500"/>
            <w:shd w:fill="EEF2F7" w:color="auto" w:val="clear"/>
            <w:tcMar>
              <w:top w:type="dxa" w:w="40"/>
              <w:left w:type="dxa" w:w="60"/>
              <w:bottom w:type="dxa" w:w="40"/>
              <w:right w:type="dxa" w:w="60"/>
            </w:tcMar>
          </w:tcPr>
          <w:p>
            <w:pPr>
              <w:spacing w:after="0"/>
            </w:pPr>
            <w:r>
              <w:rPr>
                <w:b/>
                <w:bCs/>
                <w:sz w:val="18"/>
                <w:szCs w:val="18"/>
              </w:rPr>
              <w:t xml:space="preserve">Data tier</w:t>
            </w:r>
          </w:p>
        </w:tc>
        <w:tc>
          <w:tcPr>
            <w:tcW w:type="pct" w:w="500"/>
            <w:shd w:fill="EEF2F7" w:color="auto" w:val="clear"/>
            <w:tcMar>
              <w:top w:type="dxa" w:w="40"/>
              <w:left w:type="dxa" w:w="60"/>
              <w:bottom w:type="dxa" w:w="40"/>
              <w:right w:type="dxa" w:w="60"/>
            </w:tcMar>
          </w:tcPr>
          <w:p>
            <w:pPr>
              <w:spacing w:after="0"/>
            </w:pPr>
            <w:r>
              <w:rPr>
                <w:b/>
                <w:bCs/>
                <w:sz w:val="18"/>
                <w:szCs w:val="18"/>
              </w:rPr>
              <w:t xml:space="preserve">Location</w:t>
            </w:r>
          </w:p>
        </w:tc>
        <w:tc>
          <w:tcPr>
            <w:tcW w:type="pct" w:w="450"/>
            <w:shd w:fill="EEF2F7" w:color="auto" w:val="clear"/>
            <w:tcMar>
              <w:top w:type="dxa" w:w="40"/>
              <w:left w:type="dxa" w:w="60"/>
              <w:bottom w:type="dxa" w:w="40"/>
              <w:right w:type="dxa" w:w="60"/>
            </w:tcMar>
          </w:tcPr>
          <w:p>
            <w:pPr>
              <w:spacing w:after="0"/>
            </w:pPr>
            <w:r>
              <w:rPr>
                <w:b/>
                <w:bCs/>
                <w:sz w:val="18"/>
                <w:szCs w:val="18"/>
              </w:rPr>
              <w:t xml:space="preserve">DPA</w:t>
            </w:r>
          </w:p>
        </w:tc>
        <w:tc>
          <w:tcPr>
            <w:tcW w:type="pct" w:w="600"/>
            <w:shd w:fill="EEF2F7" w:color="auto" w:val="clear"/>
            <w:tcMar>
              <w:top w:type="dxa" w:w="40"/>
              <w:left w:type="dxa" w:w="60"/>
              <w:bottom w:type="dxa" w:w="40"/>
              <w:right w:type="dxa" w:w="60"/>
            </w:tcMar>
          </w:tcPr>
          <w:p>
            <w:pPr>
              <w:spacing w:after="0"/>
            </w:pPr>
            <w:r>
              <w:rPr>
                <w:b/>
                <w:bCs/>
                <w:sz w:val="18"/>
                <w:szCs w:val="18"/>
              </w:rPr>
              <w:t xml:space="preserve">No training</w:t>
            </w:r>
          </w:p>
        </w:tc>
        <w:tc>
          <w:tcPr>
            <w:tcW w:type="pct" w:w="650"/>
            <w:shd w:fill="EEF2F7" w:color="auto" w:val="clear"/>
            <w:tcMar>
              <w:top w:type="dxa" w:w="40"/>
              <w:left w:type="dxa" w:w="60"/>
              <w:bottom w:type="dxa" w:w="40"/>
              <w:right w:type="dxa" w:w="60"/>
            </w:tcMar>
          </w:tcPr>
          <w:p>
            <w:pPr>
              <w:spacing w:after="0"/>
            </w:pPr>
            <w:r>
              <w:rPr>
                <w:b/>
                <w:bCs/>
                <w:sz w:val="18"/>
                <w:szCs w:val="18"/>
              </w:rPr>
              <w:t xml:space="preserve">Responsible</w:t>
            </w:r>
          </w:p>
        </w:tc>
        <w:tc>
          <w:tcPr>
            <w:tcW w:type="pct" w:w="700"/>
            <w:shd w:fill="EEF2F7" w:color="auto" w:val="clear"/>
            <w:tcMar>
              <w:top w:type="dxa" w:w="40"/>
              <w:left w:type="dxa" w:w="60"/>
              <w:bottom w:type="dxa" w:w="40"/>
              <w:right w:type="dxa" w:w="60"/>
            </w:tcMar>
          </w:tcPr>
          <w:p>
            <w:pPr>
              <w:spacing w:after="0"/>
            </w:pPr>
            <w:r>
              <w:rPr>
                <w:b/>
                <w:bCs/>
                <w:sz w:val="18"/>
                <w:szCs w:val="18"/>
              </w:rPr>
              <w:t xml:space="preserve">Reviewed on</w:t>
            </w:r>
          </w:p>
        </w:tc>
      </w:tr>
      <w:tr>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yes / no</w:t>
            </w:r>
          </w:p>
        </w:tc>
        <w:tc>
          <w:tcPr>
            <w:tcW w:type="pct" w:w="600"/>
            <w:tcMar>
              <w:top w:type="dxa" w:w="40"/>
              <w:left w:type="dxa" w:w="60"/>
              <w:bottom w:type="dxa" w:w="40"/>
              <w:right w:type="dxa" w:w="60"/>
            </w:tcMar>
          </w:tcPr>
          <w:p>
            <w:pPr>
              <w:spacing w:after="0"/>
            </w:pPr>
            <w:r>
              <w:rPr>
                <w:sz w:val="18"/>
                <w:szCs w:val="18"/>
              </w:rPr>
              <w:t xml:space="preserve">yes / no</w:t>
            </w:r>
          </w:p>
        </w:tc>
        <w:tc>
          <w:tcPr>
            <w:tcW w:type="pct" w:w="650"/>
            <w:tcMar>
              <w:top w:type="dxa" w:w="40"/>
              <w:left w:type="dxa" w:w="60"/>
              <w:bottom w:type="dxa" w:w="40"/>
              <w:right w:type="dxa" w:w="60"/>
            </w:tcMar>
          </w:tcPr>
          <w:p>
            <w:pPr>
              <w:spacing w:after="0"/>
            </w:pPr>
          </w:p>
        </w:tc>
        <w:tc>
          <w:tcPr>
            <w:tcW w:type="pct" w:w="70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yes / no</w:t>
            </w:r>
          </w:p>
        </w:tc>
        <w:tc>
          <w:tcPr>
            <w:tcW w:type="pct" w:w="600"/>
            <w:tcMar>
              <w:top w:type="dxa" w:w="40"/>
              <w:left w:type="dxa" w:w="60"/>
              <w:bottom w:type="dxa" w:w="40"/>
              <w:right w:type="dxa" w:w="60"/>
            </w:tcMar>
          </w:tcPr>
          <w:p>
            <w:pPr>
              <w:spacing w:after="0"/>
            </w:pPr>
            <w:r>
              <w:rPr>
                <w:sz w:val="18"/>
                <w:szCs w:val="18"/>
              </w:rPr>
              <w:t xml:space="preserve">yes / no</w:t>
            </w:r>
          </w:p>
        </w:tc>
        <w:tc>
          <w:tcPr>
            <w:tcW w:type="pct" w:w="650"/>
            <w:tcMar>
              <w:top w:type="dxa" w:w="40"/>
              <w:left w:type="dxa" w:w="60"/>
              <w:bottom w:type="dxa" w:w="40"/>
              <w:right w:type="dxa" w:w="60"/>
            </w:tcMar>
          </w:tcPr>
          <w:p>
            <w:pPr>
              <w:spacing w:after="0"/>
            </w:pPr>
          </w:p>
        </w:tc>
        <w:tc>
          <w:tcPr>
            <w:tcW w:type="pct" w:w="70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yes / no</w:t>
            </w:r>
          </w:p>
        </w:tc>
        <w:tc>
          <w:tcPr>
            <w:tcW w:type="pct" w:w="600"/>
            <w:tcMar>
              <w:top w:type="dxa" w:w="40"/>
              <w:left w:type="dxa" w:w="60"/>
              <w:bottom w:type="dxa" w:w="40"/>
              <w:right w:type="dxa" w:w="60"/>
            </w:tcMar>
          </w:tcPr>
          <w:p>
            <w:pPr>
              <w:spacing w:after="0"/>
            </w:pPr>
            <w:r>
              <w:rPr>
                <w:sz w:val="18"/>
                <w:szCs w:val="18"/>
              </w:rPr>
              <w:t xml:space="preserve">yes / no</w:t>
            </w:r>
          </w:p>
        </w:tc>
        <w:tc>
          <w:tcPr>
            <w:tcW w:type="pct" w:w="650"/>
            <w:tcMar>
              <w:top w:type="dxa" w:w="40"/>
              <w:left w:type="dxa" w:w="60"/>
              <w:bottom w:type="dxa" w:w="40"/>
              <w:right w:type="dxa" w:w="60"/>
            </w:tcMar>
          </w:tcPr>
          <w:p>
            <w:pPr>
              <w:spacing w:after="0"/>
            </w:pPr>
          </w:p>
        </w:tc>
        <w:tc>
          <w:tcPr>
            <w:tcW w:type="pct" w:w="70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yes / no</w:t>
            </w:r>
          </w:p>
        </w:tc>
        <w:tc>
          <w:tcPr>
            <w:tcW w:type="pct" w:w="600"/>
            <w:tcMar>
              <w:top w:type="dxa" w:w="40"/>
              <w:left w:type="dxa" w:w="60"/>
              <w:bottom w:type="dxa" w:w="40"/>
              <w:right w:type="dxa" w:w="60"/>
            </w:tcMar>
          </w:tcPr>
          <w:p>
            <w:pPr>
              <w:spacing w:after="0"/>
            </w:pPr>
            <w:r>
              <w:rPr>
                <w:sz w:val="18"/>
                <w:szCs w:val="18"/>
              </w:rPr>
              <w:t xml:space="preserve">yes / no</w:t>
            </w:r>
          </w:p>
        </w:tc>
        <w:tc>
          <w:tcPr>
            <w:tcW w:type="pct" w:w="650"/>
            <w:tcMar>
              <w:top w:type="dxa" w:w="40"/>
              <w:left w:type="dxa" w:w="60"/>
              <w:bottom w:type="dxa" w:w="40"/>
              <w:right w:type="dxa" w:w="60"/>
            </w:tcMar>
          </w:tcPr>
          <w:p>
            <w:pPr>
              <w:spacing w:after="0"/>
            </w:pPr>
          </w:p>
        </w:tc>
        <w:tc>
          <w:tcPr>
            <w:tcW w:type="pct" w:w="70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yes / no</w:t>
            </w:r>
          </w:p>
        </w:tc>
        <w:tc>
          <w:tcPr>
            <w:tcW w:type="pct" w:w="600"/>
            <w:tcMar>
              <w:top w:type="dxa" w:w="40"/>
              <w:left w:type="dxa" w:w="60"/>
              <w:bottom w:type="dxa" w:w="40"/>
              <w:right w:type="dxa" w:w="60"/>
            </w:tcMar>
          </w:tcPr>
          <w:p>
            <w:pPr>
              <w:spacing w:after="0"/>
            </w:pPr>
            <w:r>
              <w:rPr>
                <w:sz w:val="18"/>
                <w:szCs w:val="18"/>
              </w:rPr>
              <w:t xml:space="preserve">yes / no</w:t>
            </w:r>
          </w:p>
        </w:tc>
        <w:tc>
          <w:tcPr>
            <w:tcW w:type="pct" w:w="650"/>
            <w:tcMar>
              <w:top w:type="dxa" w:w="40"/>
              <w:left w:type="dxa" w:w="60"/>
              <w:bottom w:type="dxa" w:w="40"/>
              <w:right w:type="dxa" w:w="60"/>
            </w:tcMar>
          </w:tcPr>
          <w:p>
            <w:pPr>
              <w:spacing w:after="0"/>
            </w:pPr>
          </w:p>
        </w:tc>
        <w:tc>
          <w:tcPr>
            <w:tcW w:type="pct" w:w="700"/>
            <w:tcMar>
              <w:top w:type="dxa" w:w="40"/>
              <w:left w:type="dxa" w:w="60"/>
              <w:bottom w:type="dxa" w:w="40"/>
              <w:right w:type="dxa" w:w="60"/>
            </w:tcMar>
          </w:tcPr>
          <w:p>
            <w:pPr>
              <w:spacing w:after="0"/>
            </w:pPr>
          </w:p>
        </w:tc>
      </w:tr>
    </w:tbl>
    <w:p/>
    <w:p>
      <w:r>
        <w:rPr>
          <w:i/>
          <w:iCs/>
        </w:rPr>
        <w:t xml:space="preserve">Status:</w:t>
      </w:r>
      <w:r>
        <w:t xml:space="preserve"> approved, rejected, or under review. </w:t>
      </w:r>
      <w:r>
        <w:rPr>
          <w:i/>
          <w:iCs/>
        </w:rPr>
        <w:t xml:space="preserve">Data tier:</w:t>
      </w:r>
      <w:r>
        <w:t xml:space="preserve"> Green, Yellow, or Red (Section 4). </w:t>
      </w:r>
      <w:r>
        <w:rPr>
          <w:i/>
          <w:iCs/>
        </w:rPr>
        <w:t xml:space="preserve">Location:</w:t>
      </w:r>
      <w:r>
        <w:t xml:space="preserve"> where the provider processes and stores the data (e.g. CH, EU, USA). </w:t>
      </w:r>
      <w:r>
        <w:rPr>
          <w:i/>
          <w:iCs/>
        </w:rPr>
        <w:t xml:space="preserve">DPA:</w:t>
      </w:r>
      <w:r>
        <w:t xml:space="preserve"> data processing agreement (Auftragsbearbeitungsvertrag) with the provider in place. </w:t>
      </w:r>
      <w:r>
        <w:rPr>
          <w:i/>
          <w:iCs/>
        </w:rPr>
        <w:t xml:space="preserve">No training:</w:t>
      </w:r>
      <w:r>
        <w:t xml:space="preserve"> The provider does not use your data to train its models.</w:t>
      </w:r>
    </w:p>
    <w:sectPr>
      <w:footerReference w:type="default" r:id="rId6"/>
      <w:pgSz w:w="11906" w:h="16838" w:orient="portrait"/>
      <w:pgMar w:top="1134" w:right="1800" w:bottom="1134" w:left="18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aicompliant.ch · Template: AI Policy for Swiss SMEs ·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decimal"/>
      <w:lvlText w:val="%2."/>
      <w:lvlJc w:val="left"/>
      <w:pPr>
        <w:ind w:left="720" w:hanging="360"/>
      </w:pPr>
    </w:lvl>
    <w:lvl w:ilvl="2" w:tentative="1">
      <w:start w:val="1"/>
      <w:numFmt w:val="decimal"/>
      <w:lvlText w:val="%3."/>
      <w:lvlJc w:val="left"/>
      <w:pPr>
        <w:ind w:left="108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 w:numId="5">
    <w:abstractNumId w:val="3"/>
    <w:lvlOverride w:ilvl="0">
      <w:startOverride w:val="1"/>
    </w:lvlOverride>
  </w:num>
  <w:num w:numId="6">
    <w:abstractNumId w:val="2"/>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20"/>
      </w:pPr>
    </w:pPrDefault>
  </w:docDefaults>
  <w:style w:type="paragraph" w:styleId="Normal" w:default="1">
    <w:name w:val="Normal"/>
    <w:qFormat/>
  </w:style>
  <w:style w:type="paragraph" w:styleId="Title">
    <w:name w:val="Title"/>
    <w:basedOn w:val="Normal"/>
    <w:next w:val="Normal"/>
    <w:qFormat/>
    <w:pPr>
      <w:spacing w:after="240"/>
    </w:pPr>
    <w:rPr>
      <w:sz w:val="48"/>
      <w:szCs w:val="48"/>
    </w:rPr>
  </w:style>
  <w:style w:type="paragraph" w:styleId="Heading1">
    <w:name w:val="Heading 1"/>
    <w:basedOn w:val="Normal"/>
    <w:next w:val="Normal"/>
    <w:qFormat/>
    <w:pPr>
      <w:spacing w:after="120" w:before="480"/>
    </w:pPr>
    <w:rPr>
      <w:color w:val="2E74B5"/>
      <w:sz w:val="32"/>
      <w:szCs w:val="32"/>
    </w:rPr>
  </w:style>
  <w:style w:type="paragraph" w:styleId="Heading2">
    <w:name w:val="Heading 2"/>
    <w:basedOn w:val="Normal"/>
    <w:next w:val="Normal"/>
    <w:qFormat/>
    <w:pPr>
      <w:spacing w:after="80" w:before="240"/>
    </w:pPr>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AI Policy for Swiss SMEs</dc:title>
  <dc:creator>aicompliant.ch</dc:creator>
  <cp:lastModifiedBy>Un-named</cp:lastModifiedBy>
  <cp:revision>1</cp:revision>
  <dcterms:created xsi:type="dcterms:W3CDTF">2026-11-01T12:48:24.035Z</dcterms:created>
  <dcterms:modified xsi:type="dcterms:W3CDTF">2026-11-01T12:48:24.035Z</dcterms:modified>
</cp:coreProperties>
</file>

<file path=docProps/custom.xml><?xml version="1.0" encoding="utf-8"?>
<Properties xmlns="http://schemas.openxmlformats.org/officeDocument/2006/custom-properties" xmlns:vt="http://schemas.openxmlformats.org/officeDocument/2006/docPropsVTypes"/>
</file>