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t xml:space="preserve">Vorlage: KI-Richtlinie für Schweizer KMU</w:t>
      </w:r>
    </w:p>
    <w:p>
      <w:pPr>
        <w:pBdr>
          <w:left w:val="single" w:color="94A3B8" w:sz="18" w:space="8"/>
        </w:pBdr>
        <w:shd w:fill="EEF2F7" w:color="auto" w:val="clear"/>
        <w:ind w:left="240" w:right="240"/>
      </w:pPr>
      <w:r>
        <w:rPr>
          <w:b/>
          <w:bCs/>
        </w:rPr>
        <w:t xml:space="preserve">Hinweise zur Verwendung (vor der Inkraftsetzung löschen)</w:t>
      </w:r>
    </w:p>
    <w:p>
      <w:pPr>
        <w:pStyle w:val="ListParagraph"/>
        <w:numPr>
          <w:ilvl w:val="0"/>
          <w:numId w:val="2"/>
        </w:numPr>
        <w:pBdr>
          <w:left w:val="single" w:color="94A3B8" w:sz="18" w:space="8"/>
        </w:pBdr>
        <w:shd w:fill="EEF2F7" w:color="auto" w:val="clear"/>
        <w:spacing w:after="60"/>
        <w:ind w:left="600" w:right="240" w:hanging="360"/>
      </w:pPr>
      <w:r>
        <w:t xml:space="preserve">Diese Vorlage ist ein Ausgangspunkt, keine Rechtsberatung. Passen Sie sie an Ihr Unternehmen an und lassen Sie sie bei Bedarf von einer Fachperson prüfen.</w:t>
      </w:r>
    </w:p>
    <w:p>
      <w:pPr>
        <w:pStyle w:val="ListParagraph"/>
        <w:numPr>
          <w:ilvl w:val="0"/>
          <w:numId w:val="2"/>
        </w:numPr>
        <w:pBdr>
          <w:left w:val="single" w:color="94A3B8" w:sz="18" w:space="8"/>
        </w:pBdr>
        <w:shd w:fill="EEF2F7" w:color="auto" w:val="clear"/>
        <w:spacing w:after="60"/>
        <w:ind w:left="600" w:right="240" w:hanging="360"/>
      </w:pPr>
      <w:r>
        <w:t xml:space="preserve">Ersetzen Sie alle Angaben in </w:t>
      </w:r>
      <w:r>
        <w:rPr>
          <w:b/>
          <w:bCs/>
          <w:highlight w:val="yellow"/>
        </w:rPr>
        <w:t xml:space="preserve">[eckigen Klammern]</w:t>
      </w:r>
      <w:r>
        <w:t xml:space="preserve">. Streichen Sie, was für Sie nicht zutrifft.</w:t>
      </w:r>
    </w:p>
    <w:p>
      <w:pPr>
        <w:pStyle w:val="ListParagraph"/>
        <w:numPr>
          <w:ilvl w:val="0"/>
          <w:numId w:val="2"/>
        </w:numPr>
        <w:pBdr>
          <w:left w:val="single" w:color="94A3B8" w:sz="18" w:space="8"/>
        </w:pBdr>
        <w:shd w:fill="EEF2F7" w:color="auto" w:val="clear"/>
        <w:spacing w:after="60"/>
        <w:ind w:left="600" w:right="240" w:hanging="360"/>
      </w:pPr>
      <w:r>
        <w:rPr>
          <w:b/>
          <w:bCs/>
        </w:rPr>
        <w:t xml:space="preserve">Kleine Unternehmen (1–9 Mitarbeitende):</w:t>
      </w:r>
      <w:r>
        <w:t xml:space="preserve"> Abschnitte 8 und 9 können auf je einen Satz gekürzt werden. Die KI-verantwortliche Person ist in der Regel die Inhaberin oder der Inhaber.</w:t>
      </w:r>
    </w:p>
    <w:p>
      <w:pPr>
        <w:pStyle w:val="ListParagraph"/>
        <w:numPr>
          <w:ilvl w:val="0"/>
          <w:numId w:val="2"/>
        </w:numPr>
        <w:pBdr>
          <w:left w:val="single" w:color="94A3B8" w:sz="18" w:space="8"/>
        </w:pBdr>
        <w:shd w:fill="EEF2F7" w:color="auto" w:val="clear"/>
        <w:spacing w:after="60"/>
        <w:ind w:left="600" w:right="240" w:hanging="360"/>
      </w:pPr>
      <w:r>
        <w:rPr>
          <w:b/>
          <w:bCs/>
        </w:rPr>
        <w:t xml:space="preserve">Branchen mit Berufsgeheimnis</w:t>
      </w:r>
      <w:r>
        <w:t xml:space="preserve"> (z. B. Treuhand, Anwaltschaft, Gesundheit) oder </w:t>
      </w:r>
      <w:r>
        <w:rPr>
          <w:b/>
          <w:bCs/>
        </w:rPr>
        <w:t xml:space="preserve">FINMA-Aufsicht:</w:t>
      </w:r>
      <w:r>
        <w:t xml:space="preserve"> Prüfen Sie, ob strengere Regeln nötig sind, als diese Vorlage vorsieht.</w:t>
      </w:r>
    </w:p>
    <w:p>
      <w:pPr>
        <w:pStyle w:val="ListParagraph"/>
        <w:numPr>
          <w:ilvl w:val="0"/>
          <w:numId w:val="2"/>
        </w:numPr>
        <w:pBdr>
          <w:left w:val="single" w:color="94A3B8" w:sz="18" w:space="8"/>
        </w:pBdr>
        <w:shd w:fill="EEF2F7" w:color="auto" w:val="clear"/>
        <w:spacing w:after="60"/>
        <w:ind w:left="600" w:right="240" w:hanging="360"/>
      </w:pPr>
      <w:r>
        <w:t xml:space="preserve">Die Vorlage passt zum KI-Check auf aicompliant.ch: Sie deckt die Punkte Tool-Freigabe, Daten, Schulung, Transparenz, Entscheide über Personen, Verantwortung und Vorfälle ab.</w:t>
      </w:r>
    </w:p>
    <w:p>
      <w:pPr>
        <w:pBdr>
          <w:bottom w:val="single" w:color="94A3B8" w:sz="6" w:space="1"/>
        </w:pBdr>
      </w:pPr>
    </w:p>
    <w:p>
      <w:r>
        <w:rPr>
          <w:b/>
          <w:bCs/>
          <w:highlight w:val="yellow"/>
        </w:rPr>
        <w:t xml:space="preserve">[Firmenname]</w:t>
      </w:r>
      <w:r>
        <w:br/>
      </w:r>
      <w:r>
        <w:rPr>
          <w:b/>
          <w:bCs/>
        </w:rPr>
        <w:t xml:space="preserve">KI-Richtlinie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4"/>
        <w:gridCol w:w="4402"/>
      </w:tblGrid>
      <w:tr>
        <w:tc>
          <w:tcPr>
            <w:tcW w:type="pct" w:w="2350"/>
            <w:tcMar>
              <w:top w:type="dxa" w:w="40"/>
              <w:left w:type="dxa" w:w="60"/>
              <w:bottom w:type="dxa" w:w="40"/>
              <w:right w:type="dxa" w:w="60"/>
            </w:tcMar>
          </w:tcPr>
          <w:p>
            <w:pPr>
              <w:spacing w:after="0"/>
            </w:pPr>
            <w:r>
              <w:t xml:space="preserve">Version</w:t>
            </w:r>
          </w:p>
        </w:tc>
        <w:tc>
          <w:tcPr>
            <w:tcW w:type="pct" w:w="2650"/>
            <w:tcMar>
              <w:top w:type="dxa" w:w="40"/>
              <w:left w:type="dxa" w:w="60"/>
              <w:bottom w:type="dxa" w:w="40"/>
              <w:right w:type="dxa" w:w="60"/>
            </w:tcMar>
          </w:tcPr>
          <w:p>
            <w:pPr>
              <w:spacing w:after="0"/>
            </w:pPr>
            <w:r>
              <w:rPr>
                <w:highlight w:val="yellow"/>
              </w:rPr>
              <w:t xml:space="preserve">[1.0]</w:t>
            </w:r>
          </w:p>
        </w:tc>
      </w:tr>
      <w:tr>
        <w:tc>
          <w:tcPr>
            <w:tcW w:type="pct" w:w="2350"/>
            <w:tcMar>
              <w:top w:type="dxa" w:w="40"/>
              <w:left w:type="dxa" w:w="60"/>
              <w:bottom w:type="dxa" w:w="40"/>
              <w:right w:type="dxa" w:w="60"/>
            </w:tcMar>
          </w:tcPr>
          <w:p>
            <w:pPr>
              <w:spacing w:after="0"/>
            </w:pPr>
            <w:r>
              <w:t xml:space="preserve">Gültig ab</w:t>
            </w:r>
          </w:p>
        </w:tc>
        <w:tc>
          <w:tcPr>
            <w:tcW w:type="pct" w:w="2650"/>
            <w:tcMar>
              <w:top w:type="dxa" w:w="40"/>
              <w:left w:type="dxa" w:w="60"/>
              <w:bottom w:type="dxa" w:w="40"/>
              <w:right w:type="dxa" w:w="60"/>
            </w:tcMar>
          </w:tcPr>
          <w:p>
            <w:pPr>
              <w:spacing w:after="0"/>
            </w:pPr>
            <w:r>
              <w:rPr>
                <w:highlight w:val="yellow"/>
              </w:rPr>
              <w:t xml:space="preserve">[TT.MM.JJJJ]</w:t>
            </w:r>
          </w:p>
        </w:tc>
      </w:tr>
      <w:tr>
        <w:tc>
          <w:tcPr>
            <w:tcW w:type="pct" w:w="2350"/>
            <w:tcMar>
              <w:top w:type="dxa" w:w="40"/>
              <w:left w:type="dxa" w:w="60"/>
              <w:bottom w:type="dxa" w:w="40"/>
              <w:right w:type="dxa" w:w="60"/>
            </w:tcMar>
          </w:tcPr>
          <w:p>
            <w:pPr>
              <w:spacing w:after="0"/>
            </w:pPr>
            <w:r>
              <w:t xml:space="preserve">Verantwortlich</w:t>
            </w:r>
          </w:p>
        </w:tc>
        <w:tc>
          <w:tcPr>
            <w:tcW w:type="pct" w:w="2650"/>
            <w:tcMar>
              <w:top w:type="dxa" w:w="40"/>
              <w:left w:type="dxa" w:w="60"/>
              <w:bottom w:type="dxa" w:w="40"/>
              <w:right w:type="dxa" w:w="60"/>
            </w:tcMar>
          </w:tcPr>
          <w:p>
            <w:pPr>
              <w:spacing w:after="0"/>
            </w:pPr>
            <w:r>
              <w:rPr>
                <w:highlight w:val="yellow"/>
              </w:rPr>
              <w:t xml:space="preserve">[Name, Funktion]</w:t>
            </w:r>
            <w:r>
              <w:t xml:space="preserve"> (nachfolgend «KI-verantwortliche Person»)</w:t>
            </w:r>
          </w:p>
        </w:tc>
      </w:tr>
      <w:tr>
        <w:tc>
          <w:tcPr>
            <w:tcW w:type="pct" w:w="2350"/>
            <w:tcMar>
              <w:top w:type="dxa" w:w="40"/>
              <w:left w:type="dxa" w:w="60"/>
              <w:bottom w:type="dxa" w:w="40"/>
              <w:right w:type="dxa" w:w="60"/>
            </w:tcMar>
          </w:tcPr>
          <w:p>
            <w:pPr>
              <w:spacing w:after="0"/>
            </w:pPr>
            <w:r>
              <w:t xml:space="preserve">Genehmigt durch</w:t>
            </w:r>
          </w:p>
        </w:tc>
        <w:tc>
          <w:tcPr>
            <w:tcW w:type="pct" w:w="2650"/>
            <w:tcMar>
              <w:top w:type="dxa" w:w="40"/>
              <w:left w:type="dxa" w:w="60"/>
              <w:bottom w:type="dxa" w:w="40"/>
              <w:right w:type="dxa" w:w="60"/>
            </w:tcMar>
          </w:tcPr>
          <w:p>
            <w:pPr>
              <w:spacing w:after="0"/>
            </w:pPr>
            <w:r>
              <w:rPr>
                <w:highlight w:val="yellow"/>
              </w:rPr>
              <w:t xml:space="preserve">[Geschäftsleitung / Name]</w:t>
            </w:r>
          </w:p>
        </w:tc>
      </w:tr>
      <w:tr>
        <w:tc>
          <w:tcPr>
            <w:tcW w:type="pct" w:w="2350"/>
            <w:tcMar>
              <w:top w:type="dxa" w:w="40"/>
              <w:left w:type="dxa" w:w="60"/>
              <w:bottom w:type="dxa" w:w="40"/>
              <w:right w:type="dxa" w:w="60"/>
            </w:tcMar>
          </w:tcPr>
          <w:p>
            <w:pPr>
              <w:spacing w:after="0"/>
            </w:pPr>
            <w:r>
              <w:t xml:space="preserve">Nächste Überprüfung</w:t>
            </w:r>
          </w:p>
        </w:tc>
        <w:tc>
          <w:tcPr>
            <w:tcW w:type="pct" w:w="2650"/>
            <w:tcMar>
              <w:top w:type="dxa" w:w="40"/>
              <w:left w:type="dxa" w:w="60"/>
              <w:bottom w:type="dxa" w:w="40"/>
              <w:right w:type="dxa" w:w="60"/>
            </w:tcMar>
          </w:tcPr>
          <w:p>
            <w:pPr>
              <w:spacing w:after="0"/>
            </w:pPr>
            <w:r>
              <w:rPr>
                <w:highlight w:val="yellow"/>
              </w:rPr>
              <w:t xml:space="preserve">[TT.MM.JJJJ, spätestens 12 Monate nach Inkraftsetzung]</w:t>
            </w:r>
          </w:p>
        </w:tc>
      </w:tr>
    </w:tbl>
    <w:p/>
    <w:p>
      <w:pPr>
        <w:pStyle w:val="Heading1"/>
        <w:keepNext/>
      </w:pPr>
      <w:r>
        <w:t xml:space="preserve">1. Zweck und Geltungsbereich</w:t>
      </w:r>
    </w:p>
    <w:p>
      <w:r>
        <w:t xml:space="preserve">Diese Richtlinie regelt, wie bei </w:t>
      </w:r>
      <w:r>
        <w:rPr>
          <w:highlight w:val="yellow"/>
        </w:rPr>
        <w:t xml:space="preserve">[Firmenname]</w:t>
      </w:r>
      <w:r>
        <w:t xml:space="preserve"> Werkzeuge der künstlichen Intelligenz (KI) genutzt werden. Sie soll den Nutzen von KI ermöglichen und gleichzeitig Personendaten, Geschäftsgeheimnisse und unseren Ruf schützen.</w:t>
      </w:r>
    </w:p>
    <w:p>
      <w:r>
        <w:t xml:space="preserve">Sie gilt für:</w:t>
      </w:r>
    </w:p>
    <w:p>
      <w:pPr>
        <w:pStyle w:val="ListParagraph"/>
        <w:numPr>
          <w:ilvl w:val="0"/>
          <w:numId w:val="3"/>
        </w:numPr>
        <w:spacing w:after="60"/>
        <w:ind w:left="360" w:hanging="360"/>
      </w:pPr>
      <w:r>
        <w:t xml:space="preserve">alle Mitarbeitenden, Lernenden, Praktikantinnen und Praktikanten sowie </w:t>
      </w:r>
      <w:r>
        <w:rPr>
          <w:highlight w:val="yellow"/>
        </w:rPr>
        <w:t xml:space="preserve">[freie Mitarbeitende / Auftragnehmende]</w:t>
      </w:r>
      <w:r>
        <w:t xml:space="preserve">, soweit sie für uns arbeiten;</w:t>
      </w:r>
    </w:p>
    <w:p>
      <w:pPr>
        <w:pStyle w:val="ListParagraph"/>
        <w:numPr>
          <w:ilvl w:val="0"/>
          <w:numId w:val="3"/>
        </w:numPr>
        <w:spacing w:after="60"/>
        <w:ind w:left="360" w:hanging="360"/>
      </w:pPr>
      <w:r>
        <w:t xml:space="preserve">alle KI-Werkzeuge, die Texte, Bilder, Audio, Code oder Analysen erzeugen, inklusive KI-Funktionen in bestehender Software (z. B. in Office-Programmen, im CRM oder in der Buchhaltungssoftware);</w:t>
      </w:r>
    </w:p>
    <w:p>
      <w:pPr>
        <w:pStyle w:val="ListParagraph"/>
        <w:numPr>
          <w:ilvl w:val="0"/>
          <w:numId w:val="3"/>
        </w:numPr>
        <w:spacing w:after="60"/>
        <w:ind w:left="360" w:hanging="360"/>
      </w:pPr>
      <w:r>
        <w:t xml:space="preserve">die Nutzung auf Firmengeräten und auf privaten Geräten, sofern es um Arbeit für </w:t>
      </w:r>
      <w:r>
        <w:rPr>
          <w:highlight w:val="yellow"/>
        </w:rPr>
        <w:t xml:space="preserve">[Firmenname]</w:t>
      </w:r>
      <w:r>
        <w:t xml:space="preserve"> geht.</w:t>
      </w:r>
    </w:p>
    <w:p>
      <w:pPr>
        <w:pStyle w:val="Heading1"/>
        <w:keepNext/>
      </w:pPr>
      <w:r>
        <w:t xml:space="preserve">2. Grundsätze</w:t>
      </w:r>
    </w:p>
    <w:p>
      <w:pPr>
        <w:pStyle w:val="ListParagraph"/>
        <w:numPr>
          <w:ilvl w:val="0"/>
          <w:numId w:val="4"/>
        </w:numPr>
        <w:spacing w:after="60"/>
        <w:ind w:left="360" w:hanging="360"/>
      </w:pPr>
      <w:r>
        <w:rPr>
          <w:b/>
          <w:bCs/>
        </w:rPr>
        <w:t xml:space="preserve">Der Mensch bleibt verantwortlich.</w:t>
      </w:r>
      <w:r>
        <w:t xml:space="preserve"> KI ist ein Hilfsmittel. Für jedes Ergebnis, das wir verwenden, ist die Person verantwortlich, die es verwendet.</w:t>
      </w:r>
    </w:p>
    <w:p>
      <w:pPr>
        <w:pStyle w:val="ListParagraph"/>
        <w:numPr>
          <w:ilvl w:val="0"/>
          <w:numId w:val="4"/>
        </w:numPr>
        <w:spacing w:after="60"/>
        <w:ind w:left="360" w:hanging="360"/>
      </w:pPr>
      <w:r>
        <w:rPr>
          <w:b/>
          <w:bCs/>
        </w:rPr>
        <w:t xml:space="preserve">Nur freigegebene Tools.</w:t>
      </w:r>
      <w:r>
        <w:t xml:space="preserve"> Für die Arbeit nutzen wir nur die in Abschnitt 3 freigegebenen KI-Tools.</w:t>
      </w:r>
    </w:p>
    <w:p>
      <w:pPr>
        <w:pStyle w:val="ListParagraph"/>
        <w:numPr>
          <w:ilvl w:val="0"/>
          <w:numId w:val="4"/>
        </w:numPr>
        <w:spacing w:after="60"/>
        <w:ind w:left="360" w:hanging="360"/>
      </w:pPr>
      <w:r>
        <w:rPr>
          <w:b/>
          <w:bCs/>
        </w:rPr>
        <w:t xml:space="preserve">Daten schützen.</w:t>
      </w:r>
      <w:r>
        <w:t xml:space="preserve"> Was in ein KI-Tool eingegeben wird, kann das Unternehmen verlassen. Die Regeln in Abschnitt 4 gelten immer.</w:t>
      </w:r>
    </w:p>
    <w:p>
      <w:pPr>
        <w:pStyle w:val="ListParagraph"/>
        <w:numPr>
          <w:ilvl w:val="0"/>
          <w:numId w:val="4"/>
        </w:numPr>
        <w:spacing w:after="60"/>
        <w:ind w:left="360" w:hanging="360"/>
      </w:pPr>
      <w:r>
        <w:rPr>
          <w:b/>
          <w:bCs/>
        </w:rPr>
        <w:t xml:space="preserve">Ergebnisse prüfen.</w:t>
      </w:r>
      <w:r>
        <w:t xml:space="preserve"> KI kann überzeugend klingende Fehler machen. Ergebnisse werden vor der Verwendung geprüft (Abschnitt 5).</w:t>
      </w:r>
    </w:p>
    <w:p>
      <w:pPr>
        <w:pStyle w:val="ListParagraph"/>
        <w:numPr>
          <w:ilvl w:val="0"/>
          <w:numId w:val="4"/>
        </w:numPr>
        <w:spacing w:after="60"/>
        <w:ind w:left="360" w:hanging="360"/>
      </w:pPr>
      <w:r>
        <w:rPr>
          <w:b/>
          <w:bCs/>
        </w:rPr>
        <w:t xml:space="preserve">Im Zweifel fragen.</w:t>
      </w:r>
      <w:r>
        <w:t xml:space="preserve"> Bei Unsicherheiten wenden Sie sich an die KI-verantwortliche Person, bevor Sie handeln.</w:t>
      </w:r>
    </w:p>
    <w:p>
      <w:pPr>
        <w:pStyle w:val="Heading1"/>
        <w:keepNext/>
      </w:pPr>
      <w:r>
        <w:t xml:space="preserve">3. Freigegebene KI-Tools</w:t>
      </w:r>
    </w:p>
    <w:p>
      <w:r>
        <w:t xml:space="preserve">Folgende Tools sind für die Arbeit freigegeben: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78"/>
        <w:gridCol w:w="2326"/>
        <w:gridCol w:w="2741"/>
        <w:gridCol w:w="1744"/>
      </w:tblGrid>
      <w:tr>
        <w:trPr>
          <w:tblHeader/>
        </w:trPr>
        <w:tc>
          <w:tcPr>
            <w:tcW w:type="pct" w:w="950"/>
            <w:shd w:fill="EEF2F7" w:color="auto" w:val="clear"/>
            <w:tcMar>
              <w:top w:type="dxa" w:w="40"/>
              <w:left w:type="dxa" w:w="60"/>
              <w:bottom w:type="dxa" w:w="40"/>
              <w:right w:type="dxa" w:w="60"/>
            </w:tcMar>
          </w:tcPr>
          <w:p>
            <w:pPr>
              <w:spacing w:after="0"/>
            </w:pPr>
            <w:r>
              <w:rPr>
                <w:b/>
                <w:bCs/>
              </w:rPr>
              <w:t xml:space="preserve">Tool</w:t>
            </w:r>
          </w:p>
        </w:tc>
        <w:tc>
          <w:tcPr>
            <w:tcW w:type="pct" w:w="1400"/>
            <w:shd w:fill="EEF2F7" w:color="auto" w:val="clear"/>
            <w:tcMar>
              <w:top w:type="dxa" w:w="40"/>
              <w:left w:type="dxa" w:w="60"/>
              <w:bottom w:type="dxa" w:w="40"/>
              <w:right w:type="dxa" w:w="60"/>
            </w:tcMar>
          </w:tcPr>
          <w:p>
            <w:pPr>
              <w:spacing w:after="0"/>
            </w:pPr>
            <w:r>
              <w:rPr>
                <w:b/>
                <w:bCs/>
              </w:rPr>
              <w:t xml:space="preserve">Konto / Lizenz</w:t>
            </w:r>
          </w:p>
        </w:tc>
        <w:tc>
          <w:tcPr>
            <w:tcW w:type="pct" w:w="1650"/>
            <w:shd w:fill="EEF2F7" w:color="auto" w:val="clear"/>
            <w:tcMar>
              <w:top w:type="dxa" w:w="40"/>
              <w:left w:type="dxa" w:w="60"/>
              <w:bottom w:type="dxa" w:w="40"/>
              <w:right w:type="dxa" w:w="60"/>
            </w:tcMar>
          </w:tcPr>
          <w:p>
            <w:pPr>
              <w:spacing w:after="0"/>
            </w:pPr>
            <w:r>
              <w:rPr>
                <w:b/>
                <w:bCs/>
              </w:rPr>
              <w:t xml:space="preserve">Erlaubte Verwendung</w:t>
            </w:r>
          </w:p>
        </w:tc>
        <w:tc>
          <w:tcPr>
            <w:tcW w:type="pct" w:w="1050"/>
            <w:shd w:fill="EEF2F7" w:color="auto" w:val="clear"/>
            <w:tcMar>
              <w:top w:type="dxa" w:w="40"/>
              <w:left w:type="dxa" w:w="60"/>
              <w:bottom w:type="dxa" w:w="40"/>
              <w:right w:type="dxa" w:w="60"/>
            </w:tcMar>
          </w:tcPr>
          <w:p>
            <w:pPr>
              <w:spacing w:after="0"/>
            </w:pPr>
            <w:r>
              <w:rPr>
                <w:b/>
                <w:bCs/>
              </w:rPr>
              <w:t xml:space="preserve">Höchste erlaubte Datenstufe (siehe Abschnitt 4)</w:t>
            </w:r>
          </w:p>
        </w:tc>
      </w:tr>
      <w:tr>
        <w:tc>
          <w:tcPr>
            <w:tcW w:type="pct" w:w="950"/>
            <w:tcMar>
              <w:top w:type="dxa" w:w="40"/>
              <w:left w:type="dxa" w:w="60"/>
              <w:bottom w:type="dxa" w:w="40"/>
              <w:right w:type="dxa" w:w="60"/>
            </w:tcMar>
          </w:tcPr>
          <w:p>
            <w:pPr>
              <w:spacing w:after="0"/>
            </w:pPr>
            <w:r>
              <w:rPr>
                <w:highlight w:val="yellow"/>
              </w:rPr>
              <w:t xml:space="preserve">[z. B. Microsoft 365 Copilot]</w:t>
            </w:r>
          </w:p>
        </w:tc>
        <w:tc>
          <w:tcPr>
            <w:tcW w:type="pct" w:w="1400"/>
            <w:tcMar>
              <w:top w:type="dxa" w:w="40"/>
              <w:left w:type="dxa" w:w="60"/>
              <w:bottom w:type="dxa" w:w="40"/>
              <w:right w:type="dxa" w:w="60"/>
            </w:tcMar>
          </w:tcPr>
          <w:p>
            <w:pPr>
              <w:spacing w:after="0"/>
            </w:pPr>
            <w:r>
              <w:rPr>
                <w:highlight w:val="yellow"/>
              </w:rPr>
              <w:t xml:space="preserve">[Business-Lizenz der Firma]</w:t>
            </w:r>
          </w:p>
        </w:tc>
        <w:tc>
          <w:tcPr>
            <w:tcW w:type="pct" w:w="1650"/>
            <w:tcMar>
              <w:top w:type="dxa" w:w="40"/>
              <w:left w:type="dxa" w:w="60"/>
              <w:bottom w:type="dxa" w:w="40"/>
              <w:right w:type="dxa" w:w="60"/>
            </w:tcMar>
          </w:tcPr>
          <w:p>
            <w:pPr>
              <w:spacing w:after="0"/>
            </w:pPr>
            <w:r>
              <w:rPr>
                <w:highlight w:val="yellow"/>
              </w:rPr>
              <w:t xml:space="preserve">[Texte entwerfen, Zusammenfassungen, Recherche]</w:t>
            </w:r>
          </w:p>
        </w:tc>
        <w:tc>
          <w:tcPr>
            <w:tcW w:type="pct" w:w="1050"/>
            <w:tcMar>
              <w:top w:type="dxa" w:w="40"/>
              <w:left w:type="dxa" w:w="60"/>
              <w:bottom w:type="dxa" w:w="40"/>
              <w:right w:type="dxa" w:w="60"/>
            </w:tcMar>
          </w:tcPr>
          <w:p>
            <w:pPr>
              <w:spacing w:after="0"/>
            </w:pPr>
            <w:r>
              <w:rPr>
                <w:highlight w:val="yellow"/>
              </w:rPr>
              <w:t xml:space="preserve">[Gelb]</w:t>
            </w:r>
          </w:p>
        </w:tc>
      </w:tr>
      <w:tr>
        <w:tc>
          <w:tcPr>
            <w:tcW w:type="pct" w:w="950"/>
            <w:tcMar>
              <w:top w:type="dxa" w:w="40"/>
              <w:left w:type="dxa" w:w="60"/>
              <w:bottom w:type="dxa" w:w="40"/>
              <w:right w:type="dxa" w:w="60"/>
            </w:tcMar>
          </w:tcPr>
          <w:p>
            <w:pPr>
              <w:spacing w:after="0"/>
            </w:pPr>
            <w:r>
              <w:rPr>
                <w:highlight w:val="yellow"/>
              </w:rPr>
              <w:t xml:space="preserve">[z. B. DeepL Pro]</w:t>
            </w:r>
          </w:p>
        </w:tc>
        <w:tc>
          <w:tcPr>
            <w:tcW w:type="pct" w:w="1400"/>
            <w:tcMar>
              <w:top w:type="dxa" w:w="40"/>
              <w:left w:type="dxa" w:w="60"/>
              <w:bottom w:type="dxa" w:w="40"/>
              <w:right w:type="dxa" w:w="60"/>
            </w:tcMar>
          </w:tcPr>
          <w:p>
            <w:pPr>
              <w:spacing w:after="0"/>
            </w:pPr>
            <w:r>
              <w:rPr>
                <w:highlight w:val="yellow"/>
              </w:rPr>
              <w:t xml:space="preserve">[Firmenkonto]</w:t>
            </w:r>
          </w:p>
        </w:tc>
        <w:tc>
          <w:tcPr>
            <w:tcW w:type="pct" w:w="1650"/>
            <w:tcMar>
              <w:top w:type="dxa" w:w="40"/>
              <w:left w:type="dxa" w:w="60"/>
              <w:bottom w:type="dxa" w:w="40"/>
              <w:right w:type="dxa" w:w="60"/>
            </w:tcMar>
          </w:tcPr>
          <w:p>
            <w:pPr>
              <w:spacing w:after="0"/>
            </w:pPr>
            <w:r>
              <w:rPr>
                <w:highlight w:val="yellow"/>
              </w:rPr>
              <w:t xml:space="preserve">[Übersetzungen]</w:t>
            </w:r>
          </w:p>
        </w:tc>
        <w:tc>
          <w:tcPr>
            <w:tcW w:type="pct" w:w="1050"/>
            <w:tcMar>
              <w:top w:type="dxa" w:w="40"/>
              <w:left w:type="dxa" w:w="60"/>
              <w:bottom w:type="dxa" w:w="40"/>
              <w:right w:type="dxa" w:w="60"/>
            </w:tcMar>
          </w:tcPr>
          <w:p>
            <w:pPr>
              <w:spacing w:after="0"/>
            </w:pPr>
            <w:r>
              <w:rPr>
                <w:highlight w:val="yellow"/>
              </w:rPr>
              <w:t xml:space="preserve">[Gelb]</w:t>
            </w:r>
          </w:p>
        </w:tc>
      </w:tr>
      <w:tr>
        <w:tc>
          <w:tcPr>
            <w:tcW w:type="pct" w:w="950"/>
            <w:tcMar>
              <w:top w:type="dxa" w:w="40"/>
              <w:left w:type="dxa" w:w="60"/>
              <w:bottom w:type="dxa" w:w="40"/>
              <w:right w:type="dxa" w:w="60"/>
            </w:tcMar>
          </w:tcPr>
          <w:p>
            <w:pPr>
              <w:spacing w:after="0"/>
            </w:pPr>
            <w:r>
              <w:rPr>
                <w:highlight w:val="yellow"/>
              </w:rPr>
              <w:t xml:space="preserve">[Tool]</w:t>
            </w:r>
          </w:p>
        </w:tc>
        <w:tc>
          <w:tcPr>
            <w:tcW w:type="pct" w:w="1400"/>
            <w:tcMar>
              <w:top w:type="dxa" w:w="40"/>
              <w:left w:type="dxa" w:w="60"/>
              <w:bottom w:type="dxa" w:w="40"/>
              <w:right w:type="dxa" w:w="60"/>
            </w:tcMar>
          </w:tcPr>
          <w:p>
            <w:pPr>
              <w:spacing w:after="0"/>
            </w:pPr>
            <w:r>
              <w:rPr>
                <w:highlight w:val="yellow"/>
              </w:rPr>
              <w:t xml:space="preserve">[Konto]</w:t>
            </w:r>
          </w:p>
        </w:tc>
        <w:tc>
          <w:tcPr>
            <w:tcW w:type="pct" w:w="1650"/>
            <w:tcMar>
              <w:top w:type="dxa" w:w="40"/>
              <w:left w:type="dxa" w:w="60"/>
              <w:bottom w:type="dxa" w:w="40"/>
              <w:right w:type="dxa" w:w="60"/>
            </w:tcMar>
          </w:tcPr>
          <w:p>
            <w:pPr>
              <w:spacing w:after="0"/>
            </w:pPr>
            <w:r>
              <w:rPr>
                <w:highlight w:val="yellow"/>
              </w:rPr>
              <w:t xml:space="preserve">[Verwendung]</w:t>
            </w:r>
          </w:p>
        </w:tc>
        <w:tc>
          <w:tcPr>
            <w:tcW w:type="pct" w:w="1050"/>
            <w:tcMar>
              <w:top w:type="dxa" w:w="40"/>
              <w:left w:type="dxa" w:w="60"/>
              <w:bottom w:type="dxa" w:w="40"/>
              <w:right w:type="dxa" w:w="60"/>
            </w:tcMar>
          </w:tcPr>
          <w:p>
            <w:pPr>
              <w:spacing w:after="0"/>
            </w:pPr>
            <w:r>
              <w:rPr>
                <w:highlight w:val="yellow"/>
              </w:rPr>
              <w:t xml:space="preserve">[Grün / Gelb]</w:t>
            </w:r>
          </w:p>
        </w:tc>
      </w:tr>
    </w:tbl>
    <w:p/>
    <w:p>
      <w:r>
        <w:rPr>
          <w:b/>
          <w:bCs/>
        </w:rPr>
        <w:t xml:space="preserve">Neue Tools:</w:t>
      </w:r>
      <w:r>
        <w:t xml:space="preserve"> Wer ein weiteres KI-Tool nutzen möchte, beantragt dies bei der KI-verantwortlichen Person. Bevor ein Tool freigegeben wird, prüft die KI-verantwortliche Person mindestens:</w:t>
      </w:r>
    </w:p>
    <w:p>
      <w:pPr>
        <w:pStyle w:val="ListParagraph"/>
        <w:numPr>
          <w:ilvl w:val="0"/>
          <w:numId w:val="5"/>
        </w:numPr>
        <w:spacing w:after="60"/>
        <w:ind w:left="360" w:hanging="360"/>
      </w:pPr>
      <w:r>
        <w:t xml:space="preserve">ob ein Business-Konto mit Auftragsbearbeitungsvertrag (Data Processing Agreement) verfügbar ist;</w:t>
      </w:r>
    </w:p>
    <w:p>
      <w:pPr>
        <w:pStyle w:val="ListParagraph"/>
        <w:numPr>
          <w:ilvl w:val="0"/>
          <w:numId w:val="5"/>
        </w:numPr>
        <w:spacing w:after="60"/>
        <w:ind w:left="360" w:hanging="360"/>
      </w:pPr>
      <w:r>
        <w:t xml:space="preserve">ob die Nutzung unserer Daten für das Training des Anbieters ausgeschlossen ist;</w:t>
      </w:r>
    </w:p>
    <w:p>
      <w:pPr>
        <w:pStyle w:val="ListParagraph"/>
        <w:numPr>
          <w:ilvl w:val="0"/>
          <w:numId w:val="5"/>
        </w:numPr>
        <w:spacing w:after="60"/>
        <w:ind w:left="360" w:hanging="360"/>
      </w:pPr>
      <w:r>
        <w:t xml:space="preserve">wo die Daten bearbeitet und gespeichert werden und ob die Bekanntgabe ins Ausland zulässig ist (Art. 16–17 DSG);</w:t>
      </w:r>
    </w:p>
    <w:p>
      <w:pPr>
        <w:pStyle w:val="ListParagraph"/>
        <w:numPr>
          <w:ilvl w:val="0"/>
          <w:numId w:val="5"/>
        </w:numPr>
        <w:spacing w:after="60"/>
        <w:ind w:left="360" w:hanging="360"/>
      </w:pPr>
      <w:r>
        <w:t xml:space="preserve">welche Datenstufe im Tool erlaubt sein soll.</w:t>
      </w:r>
    </w:p>
    <w:p>
      <w:r>
        <w:rPr>
          <w:b/>
          <w:bCs/>
        </w:rPr>
        <w:t xml:space="preserve">Nicht erlaubt</w:t>
      </w:r>
      <w:r>
        <w:t xml:space="preserve"> ist die Nutzung von privaten oder kostenlosen Konten für Arbeitsdaten, auch wenn das Tool selbst freigegeben ist.</w:t>
      </w:r>
    </w:p>
    <w:p>
      <w:r>
        <w:rPr>
          <w:b/>
          <w:bCs/>
        </w:rPr>
        <w:t xml:space="preserve">Erweiterungen und Konnektoren:</w:t>
      </w:r>
      <w:r>
        <w:t xml:space="preserve"> KI-Browsererweiterungen, Plug-ins und Verbindungen, die einem KI-Tool Zugriff auf E-Mail, Dateien oder andere Systeme geben, gelten als eigene Tools und brauchen ebenfalls eine Freigabe.</w:t>
      </w:r>
    </w:p>
    <w:p>
      <w:pPr>
        <w:pStyle w:val="Heading1"/>
        <w:keepNext/>
      </w:pPr>
      <w:r>
        <w:t xml:space="preserve">4. Welche Daten in KI-Tools dürfen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61"/>
        <w:gridCol w:w="4402"/>
        <w:gridCol w:w="2243"/>
      </w:tblGrid>
      <w:tr>
        <w:trPr>
          <w:tblHeader/>
        </w:trPr>
        <w:tc>
          <w:tcPr>
            <w:tcW w:type="pct" w:w="1000"/>
            <w:shd w:fill="EEF2F7" w:color="auto" w:val="clear"/>
            <w:tcMar>
              <w:top w:type="dxa" w:w="40"/>
              <w:left w:type="dxa" w:w="60"/>
              <w:bottom w:type="dxa" w:w="40"/>
              <w:right w:type="dxa" w:w="60"/>
            </w:tcMar>
          </w:tcPr>
          <w:p>
            <w:pPr>
              <w:spacing w:after="0"/>
            </w:pPr>
            <w:r>
              <w:rPr>
                <w:b/>
                <w:bCs/>
              </w:rPr>
              <w:t xml:space="preserve">Stufe</w:t>
            </w:r>
          </w:p>
        </w:tc>
        <w:tc>
          <w:tcPr>
            <w:tcW w:type="pct" w:w="2650"/>
            <w:shd w:fill="EEF2F7" w:color="auto" w:val="clear"/>
            <w:tcMar>
              <w:top w:type="dxa" w:w="40"/>
              <w:left w:type="dxa" w:w="60"/>
              <w:bottom w:type="dxa" w:w="40"/>
              <w:right w:type="dxa" w:w="60"/>
            </w:tcMar>
          </w:tcPr>
          <w:p>
            <w:pPr>
              <w:spacing w:after="0"/>
            </w:pPr>
            <w:r>
              <w:rPr>
                <w:b/>
                <w:bCs/>
              </w:rPr>
              <w:t xml:space="preserve">Beispiele</w:t>
            </w:r>
          </w:p>
        </w:tc>
        <w:tc>
          <w:tcPr>
            <w:tcW w:type="pct" w:w="1350"/>
            <w:shd w:fill="EEF2F7" w:color="auto" w:val="clear"/>
            <w:tcMar>
              <w:top w:type="dxa" w:w="40"/>
              <w:left w:type="dxa" w:w="60"/>
              <w:bottom w:type="dxa" w:w="40"/>
              <w:right w:type="dxa" w:w="60"/>
            </w:tcMar>
          </w:tcPr>
          <w:p>
            <w:pPr>
              <w:spacing w:after="0"/>
            </w:pPr>
            <w:r>
              <w:rPr>
                <w:b/>
                <w:bCs/>
              </w:rPr>
              <w:t xml:space="preserve">Regel</w:t>
            </w:r>
          </w:p>
        </w:tc>
      </w:tr>
      <w:tr>
        <w:tc>
          <w:tcPr>
            <w:tcW w:type="pct" w:w="1000"/>
            <w:tcMar>
              <w:top w:type="dxa" w:w="40"/>
              <w:left w:type="dxa" w:w="60"/>
              <w:bottom w:type="dxa" w:w="40"/>
              <w:right w:type="dxa" w:w="60"/>
            </w:tcMar>
          </w:tcPr>
          <w:p>
            <w:pPr>
              <w:spacing w:after="0"/>
            </w:pPr>
            <w:r>
              <w:t xml:space="preserve">🟢 </w:t>
            </w:r>
            <w:r>
              <w:rPr>
                <w:b/>
                <w:bCs/>
              </w:rPr>
              <w:t xml:space="preserve">Grün</w:t>
            </w:r>
            <w:r>
              <w:t xml:space="preserve"> (öffentlich)</w:t>
            </w:r>
          </w:p>
        </w:tc>
        <w:tc>
          <w:tcPr>
            <w:tcW w:type="pct" w:w="2650"/>
            <w:tcMar>
              <w:top w:type="dxa" w:w="40"/>
              <w:left w:type="dxa" w:w="60"/>
              <w:bottom w:type="dxa" w:w="40"/>
              <w:right w:type="dxa" w:w="60"/>
            </w:tcMar>
          </w:tcPr>
          <w:p>
            <w:pPr>
              <w:spacing w:after="0"/>
            </w:pPr>
            <w:r>
              <w:t xml:space="preserve">Öffentlich verfügbare Informationen, allgemeine Fragen, eigene Texte ohne vertrauliche Inhalte</w:t>
            </w:r>
          </w:p>
        </w:tc>
        <w:tc>
          <w:tcPr>
            <w:tcW w:type="pct" w:w="1350"/>
            <w:tcMar>
              <w:top w:type="dxa" w:w="40"/>
              <w:left w:type="dxa" w:w="60"/>
              <w:bottom w:type="dxa" w:w="40"/>
              <w:right w:type="dxa" w:w="60"/>
            </w:tcMar>
          </w:tcPr>
          <w:p>
            <w:pPr>
              <w:spacing w:after="0"/>
            </w:pPr>
            <w:r>
              <w:t xml:space="preserve">In allen freigegebenen Tools erlaubt.</w:t>
            </w:r>
          </w:p>
        </w:tc>
      </w:tr>
      <w:tr>
        <w:tc>
          <w:tcPr>
            <w:tcW w:type="pct" w:w="1000"/>
            <w:tcMar>
              <w:top w:type="dxa" w:w="40"/>
              <w:left w:type="dxa" w:w="60"/>
              <w:bottom w:type="dxa" w:w="40"/>
              <w:right w:type="dxa" w:w="60"/>
            </w:tcMar>
          </w:tcPr>
          <w:p>
            <w:pPr>
              <w:spacing w:after="0"/>
            </w:pPr>
            <w:r>
              <w:t xml:space="preserve">🟡 </w:t>
            </w:r>
            <w:r>
              <w:rPr>
                <w:b/>
                <w:bCs/>
              </w:rPr>
              <w:t xml:space="preserve">Gelb</w:t>
            </w:r>
            <w:r>
              <w:t xml:space="preserve"> (intern / Personendaten)</w:t>
            </w:r>
          </w:p>
        </w:tc>
        <w:tc>
          <w:tcPr>
            <w:tcW w:type="pct" w:w="2650"/>
            <w:tcMar>
              <w:top w:type="dxa" w:w="40"/>
              <w:left w:type="dxa" w:w="60"/>
              <w:bottom w:type="dxa" w:w="40"/>
              <w:right w:type="dxa" w:w="60"/>
            </w:tcMar>
          </w:tcPr>
          <w:p>
            <w:pPr>
              <w:spacing w:after="0"/>
            </w:pPr>
            <w:r>
              <w:t xml:space="preserve">Interne Dokumente, Offerten, Namen und Kontaktdaten von Kundschaft oder Mitarbeitenden, Kundenkorrespondenz</w:t>
            </w:r>
          </w:p>
        </w:tc>
        <w:tc>
          <w:tcPr>
            <w:tcW w:type="pct" w:w="1350"/>
            <w:tcMar>
              <w:top w:type="dxa" w:w="40"/>
              <w:left w:type="dxa" w:w="60"/>
              <w:bottom w:type="dxa" w:w="40"/>
              <w:right w:type="dxa" w:w="60"/>
            </w:tcMar>
          </w:tcPr>
          <w:p>
            <w:pPr>
              <w:spacing w:after="0"/>
            </w:pPr>
            <w:r>
              <w:t xml:space="preserve">Nur in Tools, die in Abschnitt 3 für «Gelb» freigegeben sind. Nur so viele Daten wie nötig; wo möglich anonymisieren oder Namen weglassen.</w:t>
            </w:r>
          </w:p>
        </w:tc>
      </w:tr>
      <w:tr>
        <w:tc>
          <w:tcPr>
            <w:tcW w:type="pct" w:w="1000"/>
            <w:tcMar>
              <w:top w:type="dxa" w:w="40"/>
              <w:left w:type="dxa" w:w="60"/>
              <w:bottom w:type="dxa" w:w="40"/>
              <w:right w:type="dxa" w:w="60"/>
            </w:tcMar>
          </w:tcPr>
          <w:p>
            <w:pPr>
              <w:spacing w:after="0"/>
            </w:pPr>
            <w:r>
              <w:t xml:space="preserve">🔴 </w:t>
            </w:r>
            <w:r>
              <w:rPr>
                <w:b/>
                <w:bCs/>
              </w:rPr>
              <w:t xml:space="preserve">Rot</w:t>
            </w:r>
            <w:r>
              <w:t xml:space="preserve"> (streng vertraulich / besonders schützenswert)</w:t>
            </w:r>
          </w:p>
        </w:tc>
        <w:tc>
          <w:tcPr>
            <w:tcW w:type="pct" w:w="2650"/>
            <w:tcMar>
              <w:top w:type="dxa" w:w="40"/>
              <w:left w:type="dxa" w:w="60"/>
              <w:bottom w:type="dxa" w:w="40"/>
              <w:right w:type="dxa" w:w="60"/>
            </w:tcMar>
          </w:tcPr>
          <w:p>
            <w:pPr>
              <w:spacing w:after="0"/>
            </w:pPr>
            <w:r>
              <w:t xml:space="preserve">Besonders schützenswerte Personendaten (Art. 5 lit. c DSG), z. B. zu Gesundheit, Religion, politischen Ansichten, Gewerkschaftszugehörigkeit oder Ethnie, genetische und biometrische Daten, Angaben zu Strafverfahren oder Sozialhilfe; Daten unter Berufsgeheimnis; Geschäftsgeheimnisse von Kundschaft; Passwörter, Zugangsdaten, Bank- und Kartendaten</w:t>
            </w:r>
          </w:p>
        </w:tc>
        <w:tc>
          <w:tcPr>
            <w:tcW w:type="pct" w:w="1350"/>
            <w:tcMar>
              <w:top w:type="dxa" w:w="40"/>
              <w:left w:type="dxa" w:w="60"/>
              <w:bottom w:type="dxa" w:w="40"/>
              <w:right w:type="dxa" w:w="60"/>
            </w:tcMar>
          </w:tcPr>
          <w:p>
            <w:pPr>
              <w:spacing w:after="0"/>
            </w:pPr>
            <w:r>
              <w:rPr>
                <w:b/>
                <w:bCs/>
              </w:rPr>
              <w:t xml:space="preserve">Nie</w:t>
            </w:r>
            <w:r>
              <w:t xml:space="preserve"> in KI-Tools eingeben, ausser die KI-verantwortliche Person hat ein bestimmtes Tool für einen bestimmten Zweck schriftlich freigegeben.</w:t>
            </w:r>
          </w:p>
        </w:tc>
      </w:tr>
    </w:tbl>
    <w:p/>
    <w:p>
      <w:r>
        <w:t xml:space="preserve">Wenn Sie nicht sicher sind, welche Stufe gilt, behandeln Sie die Daten wie die nächsthöhere Stufe.</w:t>
      </w:r>
    </w:p>
    <w:p>
      <w:pPr>
        <w:pStyle w:val="Heading1"/>
        <w:keepNext/>
      </w:pPr>
      <w:r>
        <w:t xml:space="preserve">5. Umgang mit KI-Ergebnissen</w:t>
      </w:r>
    </w:p>
    <w:p>
      <w:pPr>
        <w:pStyle w:val="ListParagraph"/>
        <w:numPr>
          <w:ilvl w:val="0"/>
          <w:numId w:val="6"/>
        </w:numPr>
        <w:spacing w:after="60"/>
        <w:ind w:left="360" w:hanging="360"/>
      </w:pPr>
      <w:r>
        <w:rPr>
          <w:b/>
          <w:bCs/>
        </w:rPr>
        <w:t xml:space="preserve">Inhalt prüfen.</w:t>
      </w:r>
      <w:r>
        <w:t xml:space="preserve"> Fakten, Zahlen, Zitate, Quellen und Berechnungen werden vor der Verwendung überprüft. KI-Ergebnisse gelten nie als alleinige Quelle für rechtliche, steuerliche, medizinische oder finanzielle Aussagen.</w:t>
      </w:r>
    </w:p>
    <w:p>
      <w:pPr>
        <w:pStyle w:val="ListParagraph"/>
        <w:numPr>
          <w:ilvl w:val="0"/>
          <w:numId w:val="6"/>
        </w:numPr>
        <w:spacing w:after="60"/>
        <w:ind w:left="360" w:hanging="360"/>
      </w:pPr>
      <w:r>
        <w:rPr>
          <w:b/>
          <w:bCs/>
        </w:rPr>
        <w:t xml:space="preserve">Rechte Dritter beachten.</w:t>
      </w:r>
      <w:r>
        <w:t xml:space="preserve"> KI-erzeugte Texte, Bilder und Code können Rechte Dritter verletzen. Vor einer Veröffentlichung oder Weitergabe an Kundschaft wird dies mit gesundem Menschenverstand geprüft; im Zweifel wird die KI-verantwortliche Person gefragt.</w:t>
      </w:r>
    </w:p>
    <w:p>
      <w:pPr>
        <w:pStyle w:val="ListParagraph"/>
        <w:numPr>
          <w:ilvl w:val="0"/>
          <w:numId w:val="6"/>
        </w:numPr>
        <w:spacing w:after="60"/>
        <w:ind w:left="360" w:hanging="360"/>
      </w:pPr>
      <w:r>
        <w:rPr>
          <w:b/>
          <w:bCs/>
        </w:rPr>
        <w:t xml:space="preserve">Keine Entscheide über Personen ohne Menschen.</w:t>
      </w:r>
      <w:r>
        <w:t xml:space="preserve"> KI darf Entscheide über Personen (z. B. Bewerbungen, Kreditwürdigkeit, Preise, Kündigungen) vorbereiten, aber nicht allein treffen. Eine Person prüft jeden solchen Entscheid inhaltlich und hält fest, wie sie entschieden hat. So entstehen keine ausschliesslich automatisierten Einzelentscheide, für die besondere Informations- und Überprüfungspflichten gelten (Art. 21 DSG).</w:t>
      </w:r>
    </w:p>
    <w:p>
      <w:pPr>
        <w:pStyle w:val="ListParagraph"/>
        <w:numPr>
          <w:ilvl w:val="0"/>
          <w:numId w:val="6"/>
        </w:numPr>
        <w:spacing w:after="60"/>
        <w:ind w:left="360" w:hanging="360"/>
      </w:pPr>
      <w:r>
        <w:rPr>
          <w:b/>
          <w:bCs/>
        </w:rPr>
        <w:t xml:space="preserve">Kennzeichnen, wo nötig.</w:t>
      </w:r>
      <w:r>
        <w:t xml:space="preserve"> Inhalte, die mehrheitlich von KI erstellt wurden und für die Öffentlichkeit bestimmt sind, werden </w:t>
      </w:r>
      <w:r>
        <w:rPr>
          <w:highlight w:val="yellow"/>
        </w:rPr>
        <w:t xml:space="preserve">[als KI-generiert gekennzeichnet / nach Absprache mit der KI-verantwortlichen Person gekennzeichnet]</w:t>
      </w:r>
      <w:r>
        <w:t xml:space="preserve">.</w:t>
      </w:r>
    </w:p>
    <w:p>
      <w:pPr>
        <w:pStyle w:val="ListParagraph"/>
        <w:numPr>
          <w:ilvl w:val="0"/>
          <w:numId w:val="6"/>
        </w:numPr>
        <w:spacing w:after="60"/>
        <w:ind w:left="360" w:hanging="360"/>
      </w:pPr>
      <w:r>
        <w:rPr>
          <w:b/>
          <w:bCs/>
        </w:rPr>
        <w:t xml:space="preserve">KI, die selbst handelt.</w:t>
      </w:r>
      <w:r>
        <w:t xml:space="preserve"> KI-Tools, die selbst Aktionen ausführen können (z. B. E-Mails versenden, buchen, bezahlen, löschen), erhalten nur die Zugriffe, die sie für ihre Aufgabe brauchen. Nicht umkehrbare Aktionen bestätigt vorher eine Person. Inhalte von aussen (eingehende E-Mails, Webseiten, Dokumente) können versteckte Anweisungen an die KI enthalten und gelten als nicht vertrauenswürdig.</w:t>
      </w:r>
    </w:p>
    <w:p>
      <w:pPr>
        <w:pStyle w:val="ListParagraph"/>
        <w:numPr>
          <w:ilvl w:val="0"/>
          <w:numId w:val="6"/>
        </w:numPr>
        <w:spacing w:after="60"/>
        <w:ind w:left="360" w:hanging="360"/>
      </w:pPr>
      <w:r>
        <w:rPr>
          <w:b/>
          <w:bCs/>
        </w:rPr>
        <w:t xml:space="preserve">Ungewöhnliche Anfragen prüfen.</w:t>
      </w:r>
      <w:r>
        <w:t xml:space="preserve"> Zahlungs- und Datenanfragen werden über einen zweiten Kanal bestätigt (z. B. Rückruf auf eine bekannte Nummer), egal wie überzeugend E-Mail, Stimme oder Video wirken. Stimmen und Gesichter lassen sich mit KI täuschend echt fälschen.</w:t>
      </w:r>
    </w:p>
    <w:p>
      <w:pPr>
        <w:pStyle w:val="Heading1"/>
        <w:keepNext/>
      </w:pPr>
      <w:r>
        <w:t xml:space="preserve">6. Transparenz gegenüber Dritten</w:t>
      </w:r>
    </w:p>
    <w:p>
      <w:pPr>
        <w:pStyle w:val="ListParagraph"/>
        <w:numPr>
          <w:ilvl w:val="0"/>
          <w:numId w:val="7"/>
        </w:numPr>
        <w:spacing w:after="60"/>
        <w:ind w:left="360" w:hanging="360"/>
      </w:pPr>
      <w:r>
        <w:t xml:space="preserve">Chatbots und andere KI-Systeme, mit denen Kundschaft oder Bewerbende direkt interagieren, sind klar als KI erkennbar.</w:t>
      </w:r>
    </w:p>
    <w:p>
      <w:pPr>
        <w:pStyle w:val="ListParagraph"/>
        <w:numPr>
          <w:ilvl w:val="0"/>
          <w:numId w:val="7"/>
        </w:numPr>
        <w:spacing w:after="60"/>
        <w:ind w:left="360" w:hanging="360"/>
      </w:pPr>
      <w:r>
        <w:t xml:space="preserve">Die KI-verantwortliche Person sorgt dafür, dass die Datenschutzerklärung über die Bearbeitung von Personendaten mit KI-Tools informiert: Zweck, Empfänger oder Kategorien von Empfängern (z. B. die Anbieter) und gegebenenfalls die Staaten, in die Daten gelangen (Art. 19 DSG).</w:t>
      </w:r>
    </w:p>
    <w:p>
      <w:pPr>
        <w:pStyle w:val="Heading1"/>
        <w:keepNext/>
      </w:pPr>
      <w:r>
        <w:t xml:space="preserve">7. Verbotene Verwendungen</w:t>
      </w:r>
    </w:p>
    <w:p>
      <w:r>
        <w:t xml:space="preserve">Folgendes ist nicht erlaubt:</w:t>
      </w:r>
    </w:p>
    <w:p>
      <w:pPr>
        <w:pStyle w:val="ListParagraph"/>
        <w:numPr>
          <w:ilvl w:val="0"/>
          <w:numId w:val="8"/>
        </w:numPr>
        <w:spacing w:after="60"/>
        <w:ind w:left="360" w:hanging="360"/>
      </w:pPr>
      <w:r>
        <w:t xml:space="preserve">KI zu nutzen, um Personen zu täuschen, z. B. durch gefälschte Bewertungen oder täuschend echte Bilder, Stimmen oder Videos real existierender Personen;</w:t>
      </w:r>
    </w:p>
    <w:p>
      <w:pPr>
        <w:pStyle w:val="ListParagraph"/>
        <w:numPr>
          <w:ilvl w:val="0"/>
          <w:numId w:val="8"/>
        </w:numPr>
        <w:spacing w:after="60"/>
        <w:ind w:left="360" w:hanging="360"/>
      </w:pPr>
      <w:r>
        <w:t xml:space="preserve">KI zur Überwachung des Verhaltens von Mitarbeitenden einzusetzen (Art. 26 ArGV 3) oder um Daten über Mitarbeitende zu bearbeiten, die nicht ihre Eignung für die Stelle oder die Durchführung des Arbeitsvertrags betreffen (Art. 328b OR);</w:t>
      </w:r>
    </w:p>
    <w:p>
      <w:pPr>
        <w:pStyle w:val="ListParagraph"/>
        <w:numPr>
          <w:ilvl w:val="0"/>
          <w:numId w:val="8"/>
        </w:numPr>
        <w:spacing w:after="60"/>
        <w:ind w:left="360" w:hanging="360"/>
      </w:pPr>
      <w:r>
        <w:t xml:space="preserve">KI-Ergebnisse ungeprüft als Grundlage für Entscheide über Personen zu verwenden (siehe Abschnitt 5);</w:t>
      </w:r>
    </w:p>
    <w:p>
      <w:pPr>
        <w:pStyle w:val="ListParagraph"/>
        <w:numPr>
          <w:ilvl w:val="0"/>
          <w:numId w:val="8"/>
        </w:numPr>
        <w:spacing w:after="60"/>
        <w:ind w:left="360" w:hanging="360"/>
      </w:pPr>
      <w:r>
        <w:t xml:space="preserve">Sicherheitsvorkehrungen von KI-Tools oder unserer IT zu umgehen;</w:t>
      </w:r>
    </w:p>
    <w:p>
      <w:pPr>
        <w:pStyle w:val="ListParagraph"/>
        <w:numPr>
          <w:ilvl w:val="0"/>
          <w:numId w:val="8"/>
        </w:numPr>
        <w:spacing w:after="60"/>
        <w:ind w:left="360" w:hanging="360"/>
      </w:pPr>
      <w:r>
        <w:rPr>
          <w:highlight w:val="yellow"/>
        </w:rPr>
        <w:t xml:space="preserve">[weitere firmenspezifische Verbote]</w:t>
      </w:r>
      <w:r>
        <w:t xml:space="preserve">.</w:t>
      </w:r>
    </w:p>
    <w:p>
      <w:pPr>
        <w:pStyle w:val="Heading1"/>
        <w:keepNext/>
      </w:pPr>
      <w:r>
        <w:t xml:space="preserve">8. Verantwortlichkeiten</w:t>
      </w:r>
    </w:p>
    <w:p>
      <w:r>
        <w:rPr>
          <w:b/>
          <w:bCs/>
        </w:rPr>
        <w:t xml:space="preserve">Die KI-verantwortliche Person</w:t>
      </w:r>
    </w:p>
    <w:p>
      <w:pPr>
        <w:pStyle w:val="ListParagraph"/>
        <w:numPr>
          <w:ilvl w:val="0"/>
          <w:numId w:val="9"/>
        </w:numPr>
        <w:spacing w:after="60"/>
        <w:ind w:left="360" w:hanging="360"/>
      </w:pPr>
      <w:r>
        <w:t xml:space="preserve">führt die Liste der freigegebenen Tools (Anhang) und hält sie aktuell;</w:t>
      </w:r>
    </w:p>
    <w:p>
      <w:pPr>
        <w:pStyle w:val="ListParagraph"/>
        <w:numPr>
          <w:ilvl w:val="0"/>
          <w:numId w:val="9"/>
        </w:numPr>
        <w:spacing w:after="60"/>
        <w:ind w:left="360" w:hanging="360"/>
      </w:pPr>
      <w:r>
        <w:t xml:space="preserve">entscheidet über Anträge für neue Tools;</w:t>
      </w:r>
    </w:p>
    <w:p>
      <w:pPr>
        <w:pStyle w:val="ListParagraph"/>
        <w:numPr>
          <w:ilvl w:val="0"/>
          <w:numId w:val="9"/>
        </w:numPr>
        <w:spacing w:after="60"/>
        <w:ind w:left="360" w:hanging="360"/>
      </w:pPr>
      <w:r>
        <w:t xml:space="preserve">beantwortet Fragen zur Richtlinie;</w:t>
      </w:r>
    </w:p>
    <w:p>
      <w:pPr>
        <w:pStyle w:val="ListParagraph"/>
        <w:numPr>
          <w:ilvl w:val="0"/>
          <w:numId w:val="9"/>
        </w:numPr>
        <w:spacing w:after="60"/>
        <w:ind w:left="360" w:hanging="360"/>
      </w:pPr>
      <w:r>
        <w:t xml:space="preserve">sorgt für die Schulung (Abschnitt 9) und die Behandlung von Vorfällen (Abschnitt 10);</w:t>
      </w:r>
    </w:p>
    <w:p>
      <w:pPr>
        <w:pStyle w:val="ListParagraph"/>
        <w:numPr>
          <w:ilvl w:val="0"/>
          <w:numId w:val="9"/>
        </w:numPr>
        <w:spacing w:after="60"/>
        <w:ind w:left="360" w:hanging="360"/>
      </w:pPr>
      <w:r>
        <w:t xml:space="preserve">überprüft die Richtlinie mindestens jährlich.</w:t>
      </w:r>
    </w:p>
    <w:p>
      <w:r>
        <w:rPr>
          <w:b/>
          <w:bCs/>
        </w:rPr>
        <w:t xml:space="preserve">Vorgesetzte</w:t>
      </w:r>
      <w:r>
        <w:t xml:space="preserve"> sorgen dafür, dass ihr Team die Richtlinie kennt und einhält.</w:t>
      </w:r>
    </w:p>
    <w:p>
      <w:r>
        <w:rPr>
          <w:b/>
          <w:bCs/>
        </w:rPr>
        <w:t xml:space="preserve">Alle Mitarbeitenden</w:t>
      </w:r>
      <w:r>
        <w:t xml:space="preserve"> halten sich an diese Richtlinie und melden Unklarheiten und Vorfälle.</w:t>
      </w:r>
    </w:p>
    <w:p>
      <w:pPr>
        <w:pStyle w:val="Heading1"/>
        <w:keepNext/>
      </w:pPr>
      <w:r>
        <w:t xml:space="preserve">9. Schulung</w:t>
      </w:r>
    </w:p>
    <w:p>
      <w:r>
        <w:t xml:space="preserve">Wer KI-Tools nutzt, wird vor der ersten Nutzung und danach </w:t>
      </w:r>
      <w:r>
        <w:rPr>
          <w:highlight w:val="yellow"/>
        </w:rPr>
        <w:t xml:space="preserve">[jährlich]</w:t>
      </w:r>
      <w:r>
        <w:t xml:space="preserve"> geschult: was KI gut und schlecht kann, welche Daten nicht hineingehören und wie Ergebnisse geprüft werden. Die KI-verantwortliche Person hält fest, wer wann geschult wurde.</w:t>
      </w:r>
    </w:p>
    <w:p>
      <w:pPr>
        <w:pStyle w:val="Heading1"/>
        <w:keepNext/>
      </w:pPr>
      <w:r>
        <w:t xml:space="preserve">10. Vorfälle</w:t>
      </w:r>
    </w:p>
    <w:p>
      <w:r>
        <w:t xml:space="preserve">Melden Sie </w:t>
      </w:r>
      <w:r>
        <w:rPr>
          <w:b/>
          <w:bCs/>
        </w:rPr>
        <w:t xml:space="preserve">sofort</w:t>
      </w:r>
      <w:r>
        <w:t xml:space="preserve"> an </w:t>
      </w:r>
      <w:r>
        <w:rPr>
          <w:highlight w:val="yellow"/>
        </w:rPr>
        <w:t xml:space="preserve">[Name / E-Mail / Telefon]</w:t>
      </w:r>
      <w:r>
        <w:t xml:space="preserve">, wenn:</w:t>
      </w:r>
    </w:p>
    <w:p>
      <w:pPr>
        <w:pStyle w:val="ListParagraph"/>
        <w:numPr>
          <w:ilvl w:val="0"/>
          <w:numId w:val="10"/>
        </w:numPr>
        <w:spacing w:after="60"/>
        <w:ind w:left="360" w:hanging="360"/>
      </w:pPr>
      <w:r>
        <w:t xml:space="preserve">Daten der Stufe Gelb oder Rot in ein nicht dafür freigegebenes Tool gelangt sind;</w:t>
      </w:r>
    </w:p>
    <w:p>
      <w:pPr>
        <w:pStyle w:val="ListParagraph"/>
        <w:numPr>
          <w:ilvl w:val="0"/>
          <w:numId w:val="10"/>
        </w:numPr>
        <w:spacing w:after="60"/>
        <w:ind w:left="360" w:hanging="360"/>
      </w:pPr>
      <w:r>
        <w:t xml:space="preserve">ein fehlerhaftes KI-Ergebnis an Kundschaft oder nach aussen gelangt ist;</w:t>
      </w:r>
    </w:p>
    <w:p>
      <w:pPr>
        <w:pStyle w:val="ListParagraph"/>
        <w:numPr>
          <w:ilvl w:val="0"/>
          <w:numId w:val="10"/>
        </w:numPr>
        <w:spacing w:after="60"/>
        <w:ind w:left="360" w:hanging="360"/>
      </w:pPr>
      <w:r>
        <w:t xml:space="preserve">Sie vermuten, dass ein KI-Tool oder ein Konto missbraucht wird oder dass ein KI-Tool etwas getan hat, das niemand veranlasst hat;</w:t>
      </w:r>
    </w:p>
    <w:p>
      <w:pPr>
        <w:pStyle w:val="ListParagraph"/>
        <w:numPr>
          <w:ilvl w:val="0"/>
          <w:numId w:val="10"/>
        </w:numPr>
        <w:spacing w:after="60"/>
        <w:ind w:left="360" w:hanging="360"/>
      </w:pPr>
      <w:r>
        <w:t xml:space="preserve">Sie eine verdächtige Anfrage erhalten haben, die gefälscht sein könnte (z. B. Anruf oder Video der Geschäftsleitung mit dringender Zahlungsanweisung).</w:t>
      </w:r>
    </w:p>
    <w:p>
      <w:r>
        <w:t xml:space="preserve">Rasche Meldungen sind erwünscht. Wer einen Vorfall meldet, muss wegen der Meldung selbst keine Nachteile befürchten. Die KI-verantwortliche Person begrenzt den Schaden, dokumentiert den Vorfall und prüft, ob eine Meldung an den Eidgenössischen Datenschutz- und Öffentlichkeitsbeauftragten (EDÖB) nötig ist (Art. 24 DSG) und ob Betroffene informiert werden müssen.</w:t>
      </w:r>
    </w:p>
    <w:p>
      <w:pPr>
        <w:pStyle w:val="Heading1"/>
        <w:keepNext/>
      </w:pPr>
      <w:r>
        <w:t xml:space="preserve">11. Überprüfung und Verstösse</w:t>
      </w:r>
    </w:p>
    <w:p>
      <w:r>
        <w:t xml:space="preserve">Diese Richtlinie wird mindestens jährlich überprüft sowie wenn neue Tools eingeführt werden oder sich rechtliche Vorgaben ändern.</w:t>
      </w:r>
    </w:p>
    <w:p>
      <w:r>
        <w:t xml:space="preserve">Verstösse können arbeitsrechtliche Massnahmen zur Folge haben.</w:t>
      </w:r>
    </w:p>
    <w:p>
      <w:pPr>
        <w:pBdr>
          <w:bottom w:val="single" w:color="94A3B8" w:sz="6" w:space="1"/>
        </w:pBdr>
      </w:pPr>
    </w:p>
    <w:p>
      <w:pPr>
        <w:pStyle w:val="Heading1"/>
        <w:keepNext/>
      </w:pPr>
      <w:r>
        <w:t xml:space="preserve">Kenntnisnahme</w:t>
      </w:r>
    </w:p>
    <w:p>
      <w:r>
        <w:t xml:space="preserve">Ich habe die KI-Richtlinie von </w:t>
      </w:r>
      <w:r>
        <w:rPr>
          <w:highlight w:val="yellow"/>
        </w:rPr>
        <w:t xml:space="preserve">[Firmenname]</w:t>
      </w:r>
      <w:r>
        <w:t xml:space="preserve"> (Version </w:t>
      </w:r>
      <w:r>
        <w:rPr>
          <w:highlight w:val="yellow"/>
        </w:rPr>
        <w:t xml:space="preserve">[1.0]</w:t>
      </w:r>
      <w:r>
        <w:t xml:space="preserve">) gelesen und verstanden und halte mich daran.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75"/>
        <w:gridCol w:w="2658"/>
        <w:gridCol w:w="3156"/>
      </w:tblGrid>
      <w:tr>
        <w:trPr>
          <w:tblHeader/>
        </w:trPr>
        <w:tc>
          <w:tcPr>
            <w:tcW w:type="pct" w:w="1550"/>
            <w:shd w:fill="EEF2F7" w:color="auto" w:val="clear"/>
            <w:tcMar>
              <w:top w:type="dxa" w:w="40"/>
              <w:left w:type="dxa" w:w="60"/>
              <w:bottom w:type="dxa" w:w="40"/>
              <w:right w:type="dxa" w:w="60"/>
            </w:tcMar>
          </w:tcPr>
          <w:p>
            <w:pPr>
              <w:spacing w:after="0"/>
            </w:pPr>
            <w:r>
              <w:rPr>
                <w:b/>
                <w:bCs/>
              </w:rPr>
              <w:t xml:space="preserve">Name</w:t>
            </w:r>
          </w:p>
        </w:tc>
        <w:tc>
          <w:tcPr>
            <w:tcW w:type="pct" w:w="1600"/>
            <w:shd w:fill="EEF2F7" w:color="auto" w:val="clear"/>
            <w:tcMar>
              <w:top w:type="dxa" w:w="40"/>
              <w:left w:type="dxa" w:w="60"/>
              <w:bottom w:type="dxa" w:w="40"/>
              <w:right w:type="dxa" w:w="60"/>
            </w:tcMar>
          </w:tcPr>
          <w:p>
            <w:pPr>
              <w:spacing w:after="0"/>
            </w:pPr>
            <w:r>
              <w:rPr>
                <w:b/>
                <w:bCs/>
              </w:rPr>
              <w:t xml:space="preserve">Datum</w:t>
            </w:r>
          </w:p>
        </w:tc>
        <w:tc>
          <w:tcPr>
            <w:tcW w:type="pct" w:w="1900"/>
            <w:shd w:fill="EEF2F7" w:color="auto" w:val="clear"/>
            <w:tcMar>
              <w:top w:type="dxa" w:w="40"/>
              <w:left w:type="dxa" w:w="60"/>
              <w:bottom w:type="dxa" w:w="40"/>
              <w:right w:type="dxa" w:w="60"/>
            </w:tcMar>
          </w:tcPr>
          <w:p>
            <w:pPr>
              <w:spacing w:after="0"/>
            </w:pPr>
            <w:r>
              <w:rPr>
                <w:b/>
                <w:bCs/>
              </w:rPr>
              <w:t xml:space="preserve">Unterschrift</w:t>
            </w:r>
          </w:p>
        </w:tc>
      </w:tr>
      <w:tr>
        <w:tc>
          <w:tcPr>
            <w:tcW w:type="pct" w:w="1550"/>
            <w:tcMar>
              <w:top w:type="dxa" w:w="40"/>
              <w:left w:type="dxa" w:w="60"/>
              <w:bottom w:type="dxa" w:w="40"/>
              <w:right w:type="dxa" w:w="60"/>
            </w:tcMar>
          </w:tcPr>
          <w:p>
            <w:pPr>
              <w:spacing w:after="0"/>
            </w:pPr>
          </w:p>
        </w:tc>
        <w:tc>
          <w:tcPr>
            <w:tcW w:type="pct" w:w="1600"/>
            <w:tcMar>
              <w:top w:type="dxa" w:w="40"/>
              <w:left w:type="dxa" w:w="60"/>
              <w:bottom w:type="dxa" w:w="40"/>
              <w:right w:type="dxa" w:w="60"/>
            </w:tcMar>
          </w:tcPr>
          <w:p>
            <w:pPr>
              <w:spacing w:after="0"/>
            </w:pPr>
          </w:p>
        </w:tc>
        <w:tc>
          <w:tcPr>
            <w:tcW w:type="pct" w:w="1900"/>
            <w:tcMar>
              <w:top w:type="dxa" w:w="40"/>
              <w:left w:type="dxa" w:w="60"/>
              <w:bottom w:type="dxa" w:w="40"/>
              <w:right w:type="dxa" w:w="60"/>
            </w:tcMar>
          </w:tcPr>
          <w:p>
            <w:pPr>
              <w:spacing w:after="0"/>
            </w:pPr>
          </w:p>
        </w:tc>
      </w:tr>
    </w:tbl>
    <w:p/>
    <w:p>
      <w:pPr>
        <w:pBdr>
          <w:bottom w:val="single" w:color="94A3B8" w:sz="6" w:space="1"/>
        </w:pBdr>
      </w:pPr>
    </w:p>
    <w:p>
      <w:pPr>
        <w:pStyle w:val="Heading1"/>
        <w:keepNext/>
      </w:pPr>
      <w:r>
        <w:t xml:space="preserve">Anhang: Verzeichnis der KI-Tools</w:t>
      </w:r>
    </w:p>
    <w:p>
      <w:r>
        <w:rPr>
          <w:i/>
          <w:iCs/>
        </w:rPr>
        <w:t xml:space="preserve">Von der KI-verantwortlichen Person aktuell zu halten. Enthält alle bekannten KI-Tools, auch abgelehnte oder noch nicht geprüfte.</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8"/>
        <w:gridCol w:w="831"/>
        <w:gridCol w:w="664"/>
        <w:gridCol w:w="748"/>
        <w:gridCol w:w="1080"/>
        <w:gridCol w:w="831"/>
        <w:gridCol w:w="748"/>
        <w:gridCol w:w="831"/>
        <w:gridCol w:w="997"/>
        <w:gridCol w:w="1080"/>
      </w:tblGrid>
      <w:tr>
        <w:trPr>
          <w:tblHeader/>
        </w:trPr>
        <w:tc>
          <w:tcPr>
            <w:tcW w:type="pct" w:w="300"/>
            <w:shd w:fill="EEF2F7" w:color="auto" w:val="clear"/>
            <w:tcMar>
              <w:top w:type="dxa" w:w="40"/>
              <w:left w:type="dxa" w:w="60"/>
              <w:bottom w:type="dxa" w:w="40"/>
              <w:right w:type="dxa" w:w="60"/>
            </w:tcMar>
          </w:tcPr>
          <w:p>
            <w:pPr>
              <w:spacing w:after="0"/>
            </w:pPr>
            <w:r>
              <w:rPr>
                <w:b/>
                <w:bCs/>
                <w:sz w:val="18"/>
                <w:szCs w:val="18"/>
              </w:rPr>
              <w:t xml:space="preserve">Tool</w:t>
            </w:r>
          </w:p>
        </w:tc>
        <w:tc>
          <w:tcPr>
            <w:tcW w:type="pct" w:w="500"/>
            <w:shd w:fill="EEF2F7" w:color="auto" w:val="clear"/>
            <w:tcMar>
              <w:top w:type="dxa" w:w="40"/>
              <w:left w:type="dxa" w:w="60"/>
              <w:bottom w:type="dxa" w:w="40"/>
              <w:right w:type="dxa" w:w="60"/>
            </w:tcMar>
          </w:tcPr>
          <w:p>
            <w:pPr>
              <w:spacing w:after="0"/>
            </w:pPr>
            <w:r>
              <w:rPr>
                <w:b/>
                <w:bCs/>
                <w:sz w:val="18"/>
                <w:szCs w:val="18"/>
              </w:rPr>
              <w:t xml:space="preserve">Anbieter</w:t>
            </w:r>
          </w:p>
        </w:tc>
        <w:tc>
          <w:tcPr>
            <w:tcW w:type="pct" w:w="400"/>
            <w:shd w:fill="EEF2F7" w:color="auto" w:val="clear"/>
            <w:tcMar>
              <w:top w:type="dxa" w:w="40"/>
              <w:left w:type="dxa" w:w="60"/>
              <w:bottom w:type="dxa" w:w="40"/>
              <w:right w:type="dxa" w:w="60"/>
            </w:tcMar>
          </w:tcPr>
          <w:p>
            <w:pPr>
              <w:spacing w:after="0"/>
            </w:pPr>
            <w:r>
              <w:rPr>
                <w:b/>
                <w:bCs/>
                <w:sz w:val="18"/>
                <w:szCs w:val="18"/>
              </w:rPr>
              <w:t xml:space="preserve">Status</w:t>
            </w:r>
          </w:p>
        </w:tc>
        <w:tc>
          <w:tcPr>
            <w:tcW w:type="pct" w:w="450"/>
            <w:shd w:fill="EEF2F7" w:color="auto" w:val="clear"/>
            <w:tcMar>
              <w:top w:type="dxa" w:w="40"/>
              <w:left w:type="dxa" w:w="60"/>
              <w:bottom w:type="dxa" w:w="40"/>
              <w:right w:type="dxa" w:w="60"/>
            </w:tcMar>
          </w:tcPr>
          <w:p>
            <w:pPr>
              <w:spacing w:after="0"/>
            </w:pPr>
            <w:r>
              <w:rPr>
                <w:b/>
                <w:bCs/>
                <w:sz w:val="18"/>
                <w:szCs w:val="18"/>
              </w:rPr>
              <w:t xml:space="preserve">Zweck</w:t>
            </w:r>
          </w:p>
        </w:tc>
        <w:tc>
          <w:tcPr>
            <w:tcW w:type="pct" w:w="650"/>
            <w:shd w:fill="EEF2F7" w:color="auto" w:val="clear"/>
            <w:tcMar>
              <w:top w:type="dxa" w:w="40"/>
              <w:left w:type="dxa" w:w="60"/>
              <w:bottom w:type="dxa" w:w="40"/>
              <w:right w:type="dxa" w:w="60"/>
            </w:tcMar>
          </w:tcPr>
          <w:p>
            <w:pPr>
              <w:spacing w:after="0"/>
            </w:pPr>
            <w:r>
              <w:rPr>
                <w:b/>
                <w:bCs/>
                <w:sz w:val="18"/>
                <w:szCs w:val="18"/>
              </w:rPr>
              <w:t xml:space="preserve">Datenstufe</w:t>
            </w:r>
          </w:p>
        </w:tc>
        <w:tc>
          <w:tcPr>
            <w:tcW w:type="pct" w:w="500"/>
            <w:shd w:fill="EEF2F7" w:color="auto" w:val="clear"/>
            <w:tcMar>
              <w:top w:type="dxa" w:w="40"/>
              <w:left w:type="dxa" w:w="60"/>
              <w:bottom w:type="dxa" w:w="40"/>
              <w:right w:type="dxa" w:w="60"/>
            </w:tcMar>
          </w:tcPr>
          <w:p>
            <w:pPr>
              <w:spacing w:after="0"/>
            </w:pPr>
            <w:r>
              <w:rPr>
                <w:b/>
                <w:bCs/>
                <w:sz w:val="18"/>
                <w:szCs w:val="18"/>
              </w:rPr>
              <w:t xml:space="preserve">Standort</w:t>
            </w:r>
          </w:p>
        </w:tc>
        <w:tc>
          <w:tcPr>
            <w:tcW w:type="pct" w:w="450"/>
            <w:shd w:fill="EEF2F7" w:color="auto" w:val="clear"/>
            <w:tcMar>
              <w:top w:type="dxa" w:w="40"/>
              <w:left w:type="dxa" w:w="60"/>
              <w:bottom w:type="dxa" w:w="40"/>
              <w:right w:type="dxa" w:w="60"/>
            </w:tcMar>
          </w:tcPr>
          <w:p>
            <w:pPr>
              <w:spacing w:after="0"/>
            </w:pPr>
            <w:r>
              <w:rPr>
                <w:b/>
                <w:bCs/>
                <w:sz w:val="18"/>
                <w:szCs w:val="18"/>
              </w:rPr>
              <w:t xml:space="preserve">AVV</w:t>
            </w:r>
          </w:p>
        </w:tc>
        <w:tc>
          <w:tcPr>
            <w:tcW w:type="pct" w:w="500"/>
            <w:shd w:fill="EEF2F7" w:color="auto" w:val="clear"/>
            <w:tcMar>
              <w:top w:type="dxa" w:w="40"/>
              <w:left w:type="dxa" w:w="60"/>
              <w:bottom w:type="dxa" w:w="40"/>
              <w:right w:type="dxa" w:w="60"/>
            </w:tcMar>
          </w:tcPr>
          <w:p>
            <w:pPr>
              <w:spacing w:after="0"/>
            </w:pPr>
            <w:r>
              <w:rPr>
                <w:b/>
                <w:bCs/>
                <w:sz w:val="18"/>
                <w:szCs w:val="18"/>
              </w:rPr>
              <w:t xml:space="preserve">Kein Training</w:t>
            </w:r>
          </w:p>
        </w:tc>
        <w:tc>
          <w:tcPr>
            <w:tcW w:type="pct" w:w="600"/>
            <w:shd w:fill="EEF2F7" w:color="auto" w:val="clear"/>
            <w:tcMar>
              <w:top w:type="dxa" w:w="40"/>
              <w:left w:type="dxa" w:w="60"/>
              <w:bottom w:type="dxa" w:w="40"/>
              <w:right w:type="dxa" w:w="60"/>
            </w:tcMar>
          </w:tcPr>
          <w:p>
            <w:pPr>
              <w:spacing w:after="0"/>
            </w:pPr>
            <w:r>
              <w:rPr>
                <w:b/>
                <w:bCs/>
                <w:sz w:val="18"/>
                <w:szCs w:val="18"/>
              </w:rPr>
              <w:t xml:space="preserve">Zuständig</w:t>
            </w:r>
          </w:p>
        </w:tc>
        <w:tc>
          <w:tcPr>
            <w:tcW w:type="pct" w:w="650"/>
            <w:shd w:fill="EEF2F7" w:color="auto" w:val="clear"/>
            <w:tcMar>
              <w:top w:type="dxa" w:w="40"/>
              <w:left w:type="dxa" w:w="60"/>
              <w:bottom w:type="dxa" w:w="40"/>
              <w:right w:type="dxa" w:w="60"/>
            </w:tcMar>
          </w:tcPr>
          <w:p>
            <w:pPr>
              <w:spacing w:after="0"/>
            </w:pPr>
            <w:r>
              <w:rPr>
                <w:b/>
                <w:bCs/>
                <w:sz w:val="18"/>
                <w:szCs w:val="18"/>
              </w:rPr>
              <w:t xml:space="preserve">Geprüft am</w:t>
            </w:r>
          </w:p>
        </w:tc>
      </w:tr>
      <w:tr>
        <w:tc>
          <w:tcPr>
            <w:tcW w:type="pct" w:w="3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ja / nein</w:t>
            </w:r>
          </w:p>
        </w:tc>
        <w:tc>
          <w:tcPr>
            <w:tcW w:type="pct" w:w="500"/>
            <w:tcMar>
              <w:top w:type="dxa" w:w="40"/>
              <w:left w:type="dxa" w:w="60"/>
              <w:bottom w:type="dxa" w:w="40"/>
              <w:right w:type="dxa" w:w="60"/>
            </w:tcMar>
          </w:tcPr>
          <w:p>
            <w:pPr>
              <w:spacing w:after="0"/>
            </w:pPr>
            <w:r>
              <w:rPr>
                <w:sz w:val="18"/>
                <w:szCs w:val="18"/>
              </w:rPr>
              <w:t xml:space="preserve">ja / nein</w:t>
            </w:r>
          </w:p>
        </w:tc>
        <w:tc>
          <w:tcPr>
            <w:tcW w:type="pct" w:w="60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ja / nein</w:t>
            </w:r>
          </w:p>
        </w:tc>
        <w:tc>
          <w:tcPr>
            <w:tcW w:type="pct" w:w="500"/>
            <w:tcMar>
              <w:top w:type="dxa" w:w="40"/>
              <w:left w:type="dxa" w:w="60"/>
              <w:bottom w:type="dxa" w:w="40"/>
              <w:right w:type="dxa" w:w="60"/>
            </w:tcMar>
          </w:tcPr>
          <w:p>
            <w:pPr>
              <w:spacing w:after="0"/>
            </w:pPr>
            <w:r>
              <w:rPr>
                <w:sz w:val="18"/>
                <w:szCs w:val="18"/>
              </w:rPr>
              <w:t xml:space="preserve">ja / nein</w:t>
            </w:r>
          </w:p>
        </w:tc>
        <w:tc>
          <w:tcPr>
            <w:tcW w:type="pct" w:w="60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ja / nein</w:t>
            </w:r>
          </w:p>
        </w:tc>
        <w:tc>
          <w:tcPr>
            <w:tcW w:type="pct" w:w="500"/>
            <w:tcMar>
              <w:top w:type="dxa" w:w="40"/>
              <w:left w:type="dxa" w:w="60"/>
              <w:bottom w:type="dxa" w:w="40"/>
              <w:right w:type="dxa" w:w="60"/>
            </w:tcMar>
          </w:tcPr>
          <w:p>
            <w:pPr>
              <w:spacing w:after="0"/>
            </w:pPr>
            <w:r>
              <w:rPr>
                <w:sz w:val="18"/>
                <w:szCs w:val="18"/>
              </w:rPr>
              <w:t xml:space="preserve">ja / nein</w:t>
            </w:r>
          </w:p>
        </w:tc>
        <w:tc>
          <w:tcPr>
            <w:tcW w:type="pct" w:w="60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ja / nein</w:t>
            </w:r>
          </w:p>
        </w:tc>
        <w:tc>
          <w:tcPr>
            <w:tcW w:type="pct" w:w="500"/>
            <w:tcMar>
              <w:top w:type="dxa" w:w="40"/>
              <w:left w:type="dxa" w:w="60"/>
              <w:bottom w:type="dxa" w:w="40"/>
              <w:right w:type="dxa" w:w="60"/>
            </w:tcMar>
          </w:tcPr>
          <w:p>
            <w:pPr>
              <w:spacing w:after="0"/>
            </w:pPr>
            <w:r>
              <w:rPr>
                <w:sz w:val="18"/>
                <w:szCs w:val="18"/>
              </w:rPr>
              <w:t xml:space="preserve">ja / nein</w:t>
            </w:r>
          </w:p>
        </w:tc>
        <w:tc>
          <w:tcPr>
            <w:tcW w:type="pct" w:w="60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r>
      <w:tr>
        <w:tc>
          <w:tcPr>
            <w:tcW w:type="pct" w:w="30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c>
          <w:tcPr>
            <w:tcW w:type="pct" w:w="500"/>
            <w:tcMar>
              <w:top w:type="dxa" w:w="40"/>
              <w:left w:type="dxa" w:w="60"/>
              <w:bottom w:type="dxa" w:w="40"/>
              <w:right w:type="dxa" w:w="60"/>
            </w:tcMar>
          </w:tcPr>
          <w:p>
            <w:pPr>
              <w:spacing w:after="0"/>
            </w:pPr>
          </w:p>
        </w:tc>
        <w:tc>
          <w:tcPr>
            <w:tcW w:type="pct" w:w="450"/>
            <w:tcMar>
              <w:top w:type="dxa" w:w="40"/>
              <w:left w:type="dxa" w:w="60"/>
              <w:bottom w:type="dxa" w:w="40"/>
              <w:right w:type="dxa" w:w="60"/>
            </w:tcMar>
          </w:tcPr>
          <w:p>
            <w:pPr>
              <w:spacing w:after="0"/>
            </w:pPr>
            <w:r>
              <w:rPr>
                <w:sz w:val="18"/>
                <w:szCs w:val="18"/>
              </w:rPr>
              <w:t xml:space="preserve">ja / nein</w:t>
            </w:r>
          </w:p>
        </w:tc>
        <w:tc>
          <w:tcPr>
            <w:tcW w:type="pct" w:w="500"/>
            <w:tcMar>
              <w:top w:type="dxa" w:w="40"/>
              <w:left w:type="dxa" w:w="60"/>
              <w:bottom w:type="dxa" w:w="40"/>
              <w:right w:type="dxa" w:w="60"/>
            </w:tcMar>
          </w:tcPr>
          <w:p>
            <w:pPr>
              <w:spacing w:after="0"/>
            </w:pPr>
            <w:r>
              <w:rPr>
                <w:sz w:val="18"/>
                <w:szCs w:val="18"/>
              </w:rPr>
              <w:t xml:space="preserve">ja / nein</w:t>
            </w:r>
          </w:p>
        </w:tc>
        <w:tc>
          <w:tcPr>
            <w:tcW w:type="pct" w:w="600"/>
            <w:tcMar>
              <w:top w:type="dxa" w:w="40"/>
              <w:left w:type="dxa" w:w="60"/>
              <w:bottom w:type="dxa" w:w="40"/>
              <w:right w:type="dxa" w:w="60"/>
            </w:tcMar>
          </w:tcPr>
          <w:p>
            <w:pPr>
              <w:spacing w:after="0"/>
            </w:pPr>
          </w:p>
        </w:tc>
        <w:tc>
          <w:tcPr>
            <w:tcW w:type="pct" w:w="650"/>
            <w:tcMar>
              <w:top w:type="dxa" w:w="40"/>
              <w:left w:type="dxa" w:w="60"/>
              <w:bottom w:type="dxa" w:w="40"/>
              <w:right w:type="dxa" w:w="60"/>
            </w:tcMar>
          </w:tcPr>
          <w:p>
            <w:pPr>
              <w:spacing w:after="0"/>
            </w:pPr>
          </w:p>
        </w:tc>
      </w:tr>
    </w:tbl>
    <w:p/>
    <w:p>
      <w:r>
        <w:rPr>
          <w:i/>
          <w:iCs/>
        </w:rPr>
        <w:t xml:space="preserve">Status:</w:t>
      </w:r>
      <w:r>
        <w:t xml:space="preserve"> freigegeben, abgelehnt oder in Prüfung. </w:t>
      </w:r>
      <w:r>
        <w:rPr>
          <w:i/>
          <w:iCs/>
        </w:rPr>
        <w:t xml:space="preserve">Datenstufe:</w:t>
      </w:r>
      <w:r>
        <w:t xml:space="preserve"> Grün, Gelb oder Rot (Abschnitt 4). </w:t>
      </w:r>
      <w:r>
        <w:rPr>
          <w:i/>
          <w:iCs/>
        </w:rPr>
        <w:t xml:space="preserve">Standort:</w:t>
      </w:r>
      <w:r>
        <w:t xml:space="preserve"> wo der Anbieter die Daten bearbeitet und speichert (z. B. CH, EU, USA). </w:t>
      </w:r>
      <w:r>
        <w:rPr>
          <w:i/>
          <w:iCs/>
        </w:rPr>
        <w:t xml:space="preserve">AVV:</w:t>
      </w:r>
      <w:r>
        <w:t xml:space="preserve"> Auftragsbearbeitungsvertrag mit dem Anbieter vorhanden. </w:t>
      </w:r>
      <w:r>
        <w:rPr>
          <w:i/>
          <w:iCs/>
        </w:rPr>
        <w:t xml:space="preserve">Kein Training:</w:t>
      </w:r>
      <w:r>
        <w:t xml:space="preserve"> Der Anbieter verwendet Ihre Daten nicht zum Trainieren seiner Modelle.</w:t>
      </w:r>
    </w:p>
    <w:sectPr>
      <w:footerReference w:type="default" r:id="rId6"/>
      <w:pgSz w:w="11906" w:h="16838" w:orient="portrait"/>
      <w:pgMar w:top="1134" w:right="1800" w:bottom="1134" w:left="18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aicompliant.ch · Vorlage: KI-Richtlinie für Schweizer KMU ·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lvl w:ilvl="1" w:tentative="1">
      <w:start w:val="1"/>
      <w:numFmt w:val="decimal"/>
      <w:lvlText w:val="%2."/>
      <w:lvlJc w:val="left"/>
      <w:pPr>
        <w:ind w:left="720" w:hanging="360"/>
      </w:pPr>
    </w:lvl>
    <w:lvl w:ilvl="2" w:tentative="1">
      <w:start w:val="1"/>
      <w:numFmt w:val="decimal"/>
      <w:lvlText w:val="%3."/>
      <w:lvlJc w:val="left"/>
      <w:pPr>
        <w:ind w:left="1080" w:hanging="360"/>
      </w:pPr>
    </w:lvl>
  </w:abstractNum>
  <w:abstractNum w:abstractNumId="3" w15:restartNumberingAfterBreak="0">
    <w:multiLevelType w:val="hybridMultilevel"/>
    <w:lvl w:ilvl="0" w:tentative="1">
      <w:start w:val="1"/>
      <w:numFmt w:val="bullet"/>
      <w:lvlText w:val="•"/>
      <w:lvlJc w:val="left"/>
      <w:pPr>
        <w:ind w:left="360" w:hanging="360"/>
      </w:pPr>
    </w:lvl>
    <w:lvl w:ilvl="1" w:tentative="1">
      <w:start w:val="1"/>
      <w:numFmt w:val="bullet"/>
      <w:lvlText w:val="–"/>
      <w:lvlJc w:val="left"/>
      <w:pPr>
        <w:ind w:left="720" w:hanging="360"/>
      </w:pPr>
    </w:lvl>
    <w:lvl w:ilvl="2"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3"/>
    <w:lvlOverride w:ilvl="0">
      <w:startOverride w:val="1"/>
    </w:lvlOverride>
  </w:num>
  <w:num w:numId="4">
    <w:abstractNumId w:val="2"/>
    <w:lvlOverride w:ilvl="0">
      <w:startOverride w:val="1"/>
    </w:lvlOverride>
  </w:num>
  <w:num w:numId="5">
    <w:abstractNumId w:val="3"/>
    <w:lvlOverride w:ilvl="0">
      <w:startOverride w:val="1"/>
    </w:lvlOverride>
  </w:num>
  <w:num w:numId="6">
    <w:abstractNumId w:val="2"/>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pPr>
    </w:pPrDefault>
  </w:docDefaults>
  <w:style w:type="paragraph" w:styleId="Normal" w:default="1">
    <w:name w:val="Normal"/>
    <w:qFormat/>
  </w:style>
  <w:style w:type="paragraph" w:styleId="Title">
    <w:name w:val="Title"/>
    <w:basedOn w:val="Normal"/>
    <w:next w:val="Normal"/>
    <w:qFormat/>
    <w:pPr>
      <w:spacing w:after="240"/>
    </w:pPr>
    <w:rPr>
      <w:sz w:val="40"/>
      <w:szCs w:val="40"/>
    </w:rPr>
  </w:style>
  <w:style w:type="paragraph" w:styleId="Heading1">
    <w:name w:val="Heading 1"/>
    <w:basedOn w:val="Normal"/>
    <w:next w:val="Normal"/>
    <w:qFormat/>
    <w:pPr>
      <w:spacing w:after="120" w:before="480"/>
    </w:pPr>
    <w:rPr>
      <w:color w:val="2E74B5"/>
      <w:sz w:val="32"/>
      <w:szCs w:val="32"/>
    </w:rPr>
  </w:style>
  <w:style w:type="paragraph" w:styleId="Heading2">
    <w:name w:val="Heading 2"/>
    <w:basedOn w:val="Normal"/>
    <w:next w:val="Normal"/>
    <w:qFormat/>
    <w:pPr>
      <w:spacing w:after="80" w:before="240"/>
    </w:pPr>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KI-Richtlinie für Schweizer KMU</dc:title>
  <dc:creator>aicompliant.ch</dc:creator>
  <cp:lastModifiedBy>Un-named</cp:lastModifiedBy>
  <cp:revision>1</cp:revision>
  <dcterms:created xsi:type="dcterms:W3CDTF">2026-11-01T12:48:23.945Z</dcterms:created>
  <dcterms:modified xsi:type="dcterms:W3CDTF">2026-11-01T12:48:23.945Z</dcterms:modified>
</cp:coreProperties>
</file>

<file path=docProps/custom.xml><?xml version="1.0" encoding="utf-8"?>
<Properties xmlns="http://schemas.openxmlformats.org/officeDocument/2006/custom-properties" xmlns:vt="http://schemas.openxmlformats.org/officeDocument/2006/docPropsVTypes"/>
</file>